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6A591" w14:textId="77777777" w:rsidR="00F573BD" w:rsidRPr="00FC7951" w:rsidRDefault="00F573BD" w:rsidP="00725F19">
      <w:pPr>
        <w:rPr>
          <w:rFonts w:ascii="Times New Roman" w:hAnsi="Times New Roman" w:cs="Times New Roman"/>
        </w:rPr>
      </w:pPr>
    </w:p>
    <w:p w14:paraId="1FBA9447" w14:textId="77777777" w:rsidR="00F573BD" w:rsidRPr="00FC7951" w:rsidRDefault="00F573BD" w:rsidP="00725F19">
      <w:pPr>
        <w:spacing w:after="0"/>
        <w:rPr>
          <w:rFonts w:ascii="Times New Roman" w:hAnsi="Times New Roman" w:cs="Times New Roman"/>
        </w:rPr>
      </w:pPr>
    </w:p>
    <w:p w14:paraId="53D73126"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Приложение № 1 к приказу</w:t>
      </w:r>
    </w:p>
    <w:p w14:paraId="018551FB"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АО «ЕИРЦ ЛО»</w:t>
      </w:r>
    </w:p>
    <w:p w14:paraId="72A6AF1F"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от ________ № __________</w:t>
      </w:r>
    </w:p>
    <w:p w14:paraId="7F992727" w14:textId="77777777" w:rsidR="00F573BD" w:rsidRPr="00FC7951" w:rsidRDefault="00F573BD" w:rsidP="00725F19">
      <w:pPr>
        <w:spacing w:after="0"/>
        <w:ind w:firstLine="6521"/>
        <w:rPr>
          <w:rFonts w:ascii="Times New Roman" w:hAnsi="Times New Roman" w:cs="Times New Roman"/>
        </w:rPr>
      </w:pPr>
    </w:p>
    <w:p w14:paraId="31800851" w14:textId="77777777" w:rsidR="00F573BD" w:rsidRPr="00FC7951" w:rsidRDefault="00F573BD" w:rsidP="00725F19">
      <w:pPr>
        <w:spacing w:after="0"/>
        <w:ind w:firstLine="6521"/>
        <w:rPr>
          <w:rFonts w:ascii="Times New Roman" w:hAnsi="Times New Roman" w:cs="Times New Roman"/>
        </w:rPr>
      </w:pPr>
    </w:p>
    <w:p w14:paraId="17CBDCBA" w14:textId="77777777" w:rsidR="00F573BD" w:rsidRPr="00FC7951" w:rsidRDefault="00F573BD" w:rsidP="00725F19">
      <w:pPr>
        <w:spacing w:after="0"/>
        <w:ind w:firstLine="6521"/>
        <w:rPr>
          <w:rFonts w:ascii="Times New Roman" w:hAnsi="Times New Roman" w:cs="Times New Roman"/>
        </w:rPr>
      </w:pPr>
    </w:p>
    <w:p w14:paraId="02DF821F" w14:textId="77777777" w:rsidR="00F573BD" w:rsidRPr="00FC7951" w:rsidRDefault="00F573BD" w:rsidP="00725F19">
      <w:pPr>
        <w:spacing w:after="0"/>
        <w:ind w:firstLine="6521"/>
        <w:rPr>
          <w:rFonts w:ascii="Times New Roman" w:hAnsi="Times New Roman" w:cs="Times New Roman"/>
        </w:rPr>
      </w:pPr>
    </w:p>
    <w:p w14:paraId="538F9BBA" w14:textId="77777777" w:rsidR="00F573BD" w:rsidRPr="00F573BD" w:rsidRDefault="00F573BD"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МетодикА</w:t>
      </w:r>
    </w:p>
    <w:p w14:paraId="47561ED1" w14:textId="77777777" w:rsidR="00F573BD" w:rsidRPr="00F573BD" w:rsidRDefault="00F573BD" w:rsidP="00725F19">
      <w:pPr>
        <w:spacing w:after="0"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«проведениЕ экспертизы финансово-экономической устойчивости участников закупочных процедур»</w:t>
      </w:r>
    </w:p>
    <w:p w14:paraId="4DE90627" w14:textId="7DB0BECC" w:rsidR="00F573BD" w:rsidRDefault="00F573BD"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МТ-065-</w:t>
      </w:r>
      <w:r w:rsidRPr="00FC7951">
        <w:rPr>
          <w:rFonts w:ascii="Times New Roman" w:eastAsia="Times New Roman" w:hAnsi="Times New Roman" w:cs="Times New Roman"/>
          <w:b/>
          <w:bCs/>
          <w:caps/>
          <w:sz w:val="36"/>
          <w:szCs w:val="36"/>
          <w:lang w:eastAsia="ru-RU"/>
        </w:rPr>
        <w:t>4</w:t>
      </w:r>
    </w:p>
    <w:p w14:paraId="71B8B895" w14:textId="77777777" w:rsidR="00AF0ED2" w:rsidRDefault="00AF0ED2" w:rsidP="00AF0ED2">
      <w:pPr>
        <w:spacing w:after="0" w:line="240" w:lineRule="auto"/>
        <w:jc w:val="center"/>
        <w:rPr>
          <w:rFonts w:ascii="Times New Roman" w:eastAsia="Times New Roman" w:hAnsi="Times New Roman"/>
          <w:b/>
          <w:sz w:val="36"/>
          <w:szCs w:val="36"/>
        </w:rPr>
      </w:pPr>
      <w:r>
        <w:rPr>
          <w:rFonts w:ascii="Times New Roman" w:eastAsia="Times New Roman" w:hAnsi="Times New Roman"/>
          <w:b/>
          <w:sz w:val="36"/>
          <w:szCs w:val="36"/>
        </w:rPr>
        <w:t>АО «ЕИРЦ ЛО»</w:t>
      </w:r>
    </w:p>
    <w:p w14:paraId="009492B2" w14:textId="77777777" w:rsidR="00AF0ED2" w:rsidRPr="00F573BD" w:rsidRDefault="00AF0ED2"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p>
    <w:p w14:paraId="7F9DD1EB" w14:textId="77777777" w:rsidR="00F573BD" w:rsidRPr="00FC7951" w:rsidRDefault="00F573BD" w:rsidP="00725F19">
      <w:pPr>
        <w:spacing w:after="0"/>
        <w:rPr>
          <w:rFonts w:ascii="Times New Roman" w:hAnsi="Times New Roman" w:cs="Times New Roman"/>
        </w:rPr>
      </w:pPr>
    </w:p>
    <w:p w14:paraId="648B16B6" w14:textId="77777777" w:rsidR="00B06B6F" w:rsidRPr="00FC7951" w:rsidRDefault="00B06B6F" w:rsidP="00725F19">
      <w:pPr>
        <w:spacing w:after="0"/>
        <w:rPr>
          <w:rFonts w:ascii="Times New Roman" w:hAnsi="Times New Roman" w:cs="Times New Roman"/>
        </w:rPr>
      </w:pPr>
    </w:p>
    <w:p w14:paraId="46F32526" w14:textId="77777777" w:rsidR="00B06B6F" w:rsidRPr="00FC7951" w:rsidRDefault="00B06B6F" w:rsidP="00725F19">
      <w:pPr>
        <w:spacing w:after="0"/>
        <w:rPr>
          <w:rFonts w:ascii="Times New Roman" w:hAnsi="Times New Roman" w:cs="Times New Roman"/>
        </w:rPr>
      </w:pPr>
    </w:p>
    <w:p w14:paraId="78E50542" w14:textId="77777777" w:rsidR="00B06B6F" w:rsidRPr="00FC7951" w:rsidRDefault="00B06B6F" w:rsidP="00725F19">
      <w:pPr>
        <w:spacing w:after="0"/>
        <w:rPr>
          <w:rFonts w:ascii="Times New Roman" w:hAnsi="Times New Roman" w:cs="Times New Roman"/>
        </w:rPr>
      </w:pPr>
    </w:p>
    <w:p w14:paraId="0507A8BF" w14:textId="77777777" w:rsidR="00B06B6F" w:rsidRPr="00FC7951" w:rsidRDefault="00B06B6F" w:rsidP="00725F19">
      <w:pPr>
        <w:spacing w:after="0"/>
        <w:rPr>
          <w:rFonts w:ascii="Times New Roman" w:hAnsi="Times New Roman" w:cs="Times New Roman"/>
        </w:rPr>
      </w:pPr>
    </w:p>
    <w:p w14:paraId="11E14CEE" w14:textId="77777777" w:rsidR="00B06B6F" w:rsidRPr="00FC7951" w:rsidRDefault="00B06B6F" w:rsidP="00725F19">
      <w:pPr>
        <w:spacing w:after="0"/>
        <w:rPr>
          <w:rFonts w:ascii="Times New Roman" w:hAnsi="Times New Roman" w:cs="Times New Roman"/>
        </w:rPr>
      </w:pPr>
    </w:p>
    <w:p w14:paraId="0B50FA04" w14:textId="77777777" w:rsidR="00B06B6F" w:rsidRPr="00FC7951" w:rsidRDefault="00B06B6F" w:rsidP="00725F19">
      <w:pPr>
        <w:spacing w:after="0"/>
        <w:rPr>
          <w:rFonts w:ascii="Times New Roman" w:hAnsi="Times New Roman" w:cs="Times New Roman"/>
        </w:rPr>
      </w:pPr>
    </w:p>
    <w:p w14:paraId="3C941DBB" w14:textId="77777777" w:rsidR="00B06B6F" w:rsidRPr="00FC7951" w:rsidRDefault="00B06B6F" w:rsidP="00725F19">
      <w:pPr>
        <w:spacing w:after="0"/>
        <w:rPr>
          <w:rFonts w:ascii="Times New Roman" w:hAnsi="Times New Roman" w:cs="Times New Roman"/>
        </w:rPr>
      </w:pPr>
    </w:p>
    <w:p w14:paraId="19456434" w14:textId="77777777" w:rsidR="00B06B6F" w:rsidRPr="00FC7951" w:rsidRDefault="00B06B6F" w:rsidP="00725F19">
      <w:pPr>
        <w:jc w:val="center"/>
        <w:rPr>
          <w:rFonts w:ascii="Times New Roman" w:hAnsi="Times New Roman" w:cs="Times New Roman"/>
        </w:rPr>
      </w:pPr>
    </w:p>
    <w:p w14:paraId="1621ED7E" w14:textId="77777777" w:rsidR="00B06B6F" w:rsidRPr="00FC7951" w:rsidRDefault="00B06B6F" w:rsidP="00725F19">
      <w:pPr>
        <w:jc w:val="center"/>
        <w:rPr>
          <w:rFonts w:ascii="Times New Roman" w:hAnsi="Times New Roman" w:cs="Times New Roman"/>
        </w:rPr>
      </w:pPr>
    </w:p>
    <w:p w14:paraId="2EA0C301" w14:textId="77777777" w:rsidR="00B06B6F" w:rsidRPr="00FC7951" w:rsidRDefault="00B06B6F" w:rsidP="00725F19">
      <w:pPr>
        <w:jc w:val="center"/>
        <w:rPr>
          <w:rFonts w:ascii="Times New Roman" w:hAnsi="Times New Roman" w:cs="Times New Roman"/>
        </w:rPr>
      </w:pPr>
    </w:p>
    <w:p w14:paraId="6865DB19" w14:textId="77777777" w:rsidR="00B06B6F" w:rsidRPr="00FC7951" w:rsidRDefault="00B06B6F" w:rsidP="00725F19">
      <w:pPr>
        <w:jc w:val="center"/>
        <w:rPr>
          <w:rFonts w:ascii="Times New Roman" w:hAnsi="Times New Roman" w:cs="Times New Roman"/>
        </w:rPr>
      </w:pPr>
    </w:p>
    <w:p w14:paraId="269330D7" w14:textId="77777777" w:rsidR="00B06B6F" w:rsidRPr="00FC7951" w:rsidRDefault="00B06B6F" w:rsidP="00725F19">
      <w:pPr>
        <w:jc w:val="center"/>
        <w:rPr>
          <w:rFonts w:ascii="Times New Roman" w:hAnsi="Times New Roman" w:cs="Times New Roman"/>
        </w:rPr>
      </w:pPr>
    </w:p>
    <w:p w14:paraId="77C56B03" w14:textId="77777777" w:rsidR="00B06B6F" w:rsidRPr="00FC7951" w:rsidRDefault="00B06B6F" w:rsidP="00725F19">
      <w:pPr>
        <w:jc w:val="center"/>
        <w:rPr>
          <w:rFonts w:ascii="Times New Roman" w:hAnsi="Times New Roman" w:cs="Times New Roman"/>
        </w:rPr>
      </w:pPr>
    </w:p>
    <w:p w14:paraId="0E3AAB58" w14:textId="5B1CBE5A" w:rsidR="00B06B6F" w:rsidRPr="00FC7951" w:rsidRDefault="00B06B6F" w:rsidP="00725F19">
      <w:pPr>
        <w:rPr>
          <w:rFonts w:ascii="Times New Roman" w:hAnsi="Times New Roman" w:cs="Times New Roman"/>
        </w:rPr>
      </w:pP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28" w:type="dxa"/>
          <w:right w:w="28" w:type="dxa"/>
        </w:tblCellMar>
        <w:tblLook w:val="0000" w:firstRow="0" w:lastRow="0" w:firstColumn="0" w:lastColumn="0" w:noHBand="0" w:noVBand="0"/>
      </w:tblPr>
      <w:tblGrid>
        <w:gridCol w:w="3073"/>
        <w:gridCol w:w="6272"/>
      </w:tblGrid>
      <w:tr w:rsidR="00B06B6F" w:rsidRPr="00FC7951" w14:paraId="73296AB6" w14:textId="77777777" w:rsidTr="00FC7951">
        <w:trPr>
          <w:trHeight w:val="284"/>
          <w:tblHeader/>
        </w:trPr>
        <w:tc>
          <w:tcPr>
            <w:tcW w:w="1644" w:type="pct"/>
            <w:shd w:val="clear" w:color="auto" w:fill="D9D9D9"/>
            <w:vAlign w:val="center"/>
          </w:tcPr>
          <w:p w14:paraId="7BCBF75A" w14:textId="77777777" w:rsidR="00B06B6F" w:rsidRPr="00FC7951" w:rsidRDefault="00B06B6F" w:rsidP="00725F19">
            <w:pPr>
              <w:keepNext/>
              <w:rPr>
                <w:rFonts w:ascii="Times New Roman" w:eastAsia="Calibri" w:hAnsi="Times New Roman" w:cs="Times New Roman"/>
                <w:b/>
                <w:bCs/>
                <w:sz w:val="24"/>
                <w:szCs w:val="24"/>
                <w:highlight w:val="yellow"/>
              </w:rPr>
            </w:pPr>
            <w:r w:rsidRPr="00FC7951">
              <w:rPr>
                <w:rFonts w:ascii="Times New Roman" w:eastAsia="Calibri" w:hAnsi="Times New Roman" w:cs="Times New Roman"/>
                <w:b/>
                <w:bCs/>
                <w:sz w:val="24"/>
                <w:szCs w:val="24"/>
              </w:rPr>
              <w:t>Ответственный за применение ВНД</w:t>
            </w:r>
          </w:p>
        </w:tc>
        <w:tc>
          <w:tcPr>
            <w:tcW w:w="3356" w:type="pct"/>
            <w:shd w:val="clear" w:color="auto" w:fill="FFFFFF"/>
            <w:vAlign w:val="center"/>
          </w:tcPr>
          <w:p w14:paraId="5ADD343A" w14:textId="77777777" w:rsidR="00B06B6F" w:rsidRPr="00FC7951" w:rsidRDefault="00B06B6F" w:rsidP="00725F19">
            <w:pPr>
              <w:keepNext/>
              <w:rPr>
                <w:rFonts w:ascii="Times New Roman" w:eastAsia="Calibri" w:hAnsi="Times New Roman" w:cs="Times New Roman"/>
                <w:b/>
                <w:bCs/>
                <w:sz w:val="24"/>
                <w:szCs w:val="24"/>
              </w:rPr>
            </w:pPr>
            <w:r w:rsidRPr="00FC7951">
              <w:rPr>
                <w:rFonts w:ascii="Times New Roman" w:hAnsi="Times New Roman" w:cs="Times New Roman"/>
                <w:sz w:val="24"/>
                <w:szCs w:val="24"/>
              </w:rPr>
              <w:t>Директор по экономике и финансам</w:t>
            </w:r>
          </w:p>
        </w:tc>
      </w:tr>
      <w:tr w:rsidR="00B06B6F" w:rsidRPr="00FC7951" w14:paraId="1201A28A" w14:textId="77777777" w:rsidTr="00FC7951">
        <w:trPr>
          <w:trHeight w:val="284"/>
          <w:tblHeader/>
        </w:trPr>
        <w:tc>
          <w:tcPr>
            <w:tcW w:w="1644" w:type="pct"/>
            <w:shd w:val="clear" w:color="auto" w:fill="D9D9D9"/>
            <w:vAlign w:val="center"/>
          </w:tcPr>
          <w:p w14:paraId="16EFB990" w14:textId="77777777" w:rsidR="00B06B6F" w:rsidRPr="00FC7951" w:rsidRDefault="00B06B6F" w:rsidP="00725F19">
            <w:pPr>
              <w:keepNext/>
              <w:rPr>
                <w:rFonts w:ascii="Times New Roman" w:eastAsia="Calibri" w:hAnsi="Times New Roman" w:cs="Times New Roman"/>
                <w:b/>
                <w:bCs/>
                <w:sz w:val="24"/>
                <w:szCs w:val="24"/>
                <w:highlight w:val="yellow"/>
              </w:rPr>
            </w:pPr>
            <w:r w:rsidRPr="00FC7951">
              <w:rPr>
                <w:rFonts w:ascii="Times New Roman" w:eastAsia="Calibri" w:hAnsi="Times New Roman" w:cs="Times New Roman"/>
                <w:b/>
                <w:bCs/>
                <w:sz w:val="24"/>
                <w:szCs w:val="24"/>
              </w:rPr>
              <w:t>Владелец документа</w:t>
            </w:r>
          </w:p>
        </w:tc>
        <w:tc>
          <w:tcPr>
            <w:tcW w:w="3356" w:type="pct"/>
            <w:shd w:val="clear" w:color="auto" w:fill="FFFFFF"/>
            <w:vAlign w:val="center"/>
          </w:tcPr>
          <w:p w14:paraId="05AE7D18" w14:textId="77777777" w:rsidR="00B06B6F" w:rsidRPr="00FC7951" w:rsidRDefault="00B06B6F" w:rsidP="00725F19">
            <w:pPr>
              <w:keepNext/>
              <w:rPr>
                <w:rFonts w:ascii="Times New Roman" w:eastAsia="Calibri" w:hAnsi="Times New Roman" w:cs="Times New Roman"/>
                <w:bCs/>
                <w:sz w:val="24"/>
                <w:szCs w:val="24"/>
              </w:rPr>
            </w:pPr>
            <w:r w:rsidRPr="00FC7951">
              <w:rPr>
                <w:rFonts w:ascii="Times New Roman" w:eastAsia="Calibri" w:hAnsi="Times New Roman" w:cs="Times New Roman"/>
                <w:bCs/>
                <w:sz w:val="24"/>
                <w:szCs w:val="24"/>
              </w:rPr>
              <w:t>Финансово-экономический центр/Финансовый директор</w:t>
            </w:r>
          </w:p>
        </w:tc>
      </w:tr>
    </w:tbl>
    <w:p w14:paraId="63C55109" w14:textId="77777777" w:rsidR="00B06B6F" w:rsidRPr="00FC7951" w:rsidRDefault="00B06B6F" w:rsidP="00725F19">
      <w:pPr>
        <w:jc w:val="center"/>
        <w:rPr>
          <w:rFonts w:ascii="Times New Roman" w:hAnsi="Times New Roman" w:cs="Times New Roman"/>
          <w:b/>
          <w:bCs/>
          <w:caps/>
          <w:sz w:val="36"/>
          <w:szCs w:val="36"/>
        </w:rPr>
      </w:pPr>
      <w:r w:rsidRPr="00FC7951">
        <w:rPr>
          <w:rFonts w:ascii="Times New Roman" w:hAnsi="Times New Roman" w:cs="Times New Roman"/>
        </w:rPr>
        <w:br w:type="page"/>
      </w:r>
    </w:p>
    <w:p w14:paraId="23C2BC5C" w14:textId="77777777" w:rsidR="00B06B6F" w:rsidRPr="00FC7951" w:rsidRDefault="00B06B6F" w:rsidP="00725F19">
      <w:pPr>
        <w:pStyle w:val="11"/>
        <w:rPr>
          <w:rFonts w:ascii="Times New Roman" w:hAnsi="Times New Roman"/>
          <w:noProof/>
        </w:rPr>
      </w:pPr>
    </w:p>
    <w:sdt>
      <w:sdtPr>
        <w:rPr>
          <w:rFonts w:ascii="Arial" w:hAnsi="Arial"/>
          <w:b w:val="0"/>
          <w:bCs w:val="0"/>
          <w:iCs/>
          <w:sz w:val="24"/>
        </w:rPr>
        <w:id w:val="-2131078968"/>
        <w:docPartObj>
          <w:docPartGallery w:val="Table of Contents"/>
          <w:docPartUnique/>
        </w:docPartObj>
      </w:sdtPr>
      <w:sdtEndPr>
        <w:rPr>
          <w:bCs/>
        </w:rPr>
      </w:sdtEndPr>
      <w:sdtContent>
        <w:p w14:paraId="00C0D318" w14:textId="77777777" w:rsidR="00B06B6F" w:rsidRPr="00FC7951" w:rsidRDefault="00B06B6F" w:rsidP="00725F19">
          <w:pPr>
            <w:pStyle w:val="a8"/>
            <w:spacing w:before="100" w:beforeAutospacing="1" w:after="100" w:afterAutospacing="1"/>
            <w:rPr>
              <w:color w:val="000000" w:themeColor="text1"/>
              <w:szCs w:val="28"/>
            </w:rPr>
          </w:pPr>
          <w:r w:rsidRPr="00FC7951">
            <w:rPr>
              <w:color w:val="000000" w:themeColor="text1"/>
              <w:szCs w:val="28"/>
            </w:rPr>
            <w:t>СОДЕРЖАНИЕ</w:t>
          </w:r>
        </w:p>
        <w:p w14:paraId="006EDFA4" w14:textId="77777777" w:rsidR="00B06B6F" w:rsidRPr="00FC7951" w:rsidRDefault="00B06B6F" w:rsidP="00725F19">
          <w:pPr>
            <w:pStyle w:val="1"/>
            <w:numPr>
              <w:ilvl w:val="0"/>
              <w:numId w:val="0"/>
            </w:numPr>
            <w:rPr>
              <w:sz w:val="28"/>
              <w:szCs w:val="28"/>
            </w:rPr>
          </w:pPr>
        </w:p>
        <w:p w14:paraId="38865898" w14:textId="77777777" w:rsidR="00B06B6F" w:rsidRPr="00FC7951" w:rsidRDefault="00B06B6F" w:rsidP="00725F19">
          <w:pPr>
            <w:pStyle w:val="11"/>
            <w:rPr>
              <w:rFonts w:ascii="Times New Roman" w:eastAsiaTheme="minorEastAsia" w:hAnsi="Times New Roman"/>
              <w:noProof/>
              <w:sz w:val="22"/>
              <w:szCs w:val="22"/>
            </w:rPr>
          </w:pPr>
          <w:r w:rsidRPr="00FC7951">
            <w:rPr>
              <w:rFonts w:ascii="Times New Roman" w:hAnsi="Times New Roman"/>
            </w:rPr>
            <w:fldChar w:fldCharType="begin"/>
          </w:r>
          <w:r w:rsidRPr="00FC7951">
            <w:rPr>
              <w:rFonts w:ascii="Times New Roman" w:hAnsi="Times New Roman"/>
            </w:rPr>
            <w:instrText xml:space="preserve"> TOC \o "1-3" \h \z \u </w:instrText>
          </w:r>
          <w:r w:rsidRPr="00FC7951">
            <w:rPr>
              <w:rFonts w:ascii="Times New Roman" w:hAnsi="Times New Roman"/>
            </w:rPr>
            <w:fldChar w:fldCharType="separate"/>
          </w:r>
          <w:hyperlink w:anchor="_Toc107247759" w:history="1">
            <w:r w:rsidRPr="00FC7951">
              <w:rPr>
                <w:rStyle w:val="ab"/>
                <w:rFonts w:ascii="Times New Roman" w:hAnsi="Times New Roman"/>
                <w:noProof/>
              </w:rPr>
              <w:t>1.</w:t>
            </w:r>
            <w:r w:rsidRPr="00FC7951">
              <w:rPr>
                <w:rFonts w:ascii="Times New Roman" w:eastAsiaTheme="minorEastAsia" w:hAnsi="Times New Roman"/>
                <w:noProof/>
                <w:sz w:val="22"/>
                <w:szCs w:val="22"/>
              </w:rPr>
              <w:tab/>
            </w:r>
            <w:r w:rsidRPr="00FC7951">
              <w:rPr>
                <w:rStyle w:val="ab"/>
                <w:rFonts w:ascii="Times New Roman" w:hAnsi="Times New Roman"/>
                <w:noProof/>
              </w:rPr>
              <w:t>ИНФОРМАЦИЯ О ДОКУМЕНТЕ</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_Toc107247759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w:t>
            </w:r>
            <w:r w:rsidRPr="00FC7951">
              <w:rPr>
                <w:rFonts w:ascii="Times New Roman" w:hAnsi="Times New Roman"/>
                <w:noProof/>
                <w:webHidden/>
              </w:rPr>
              <w:fldChar w:fldCharType="end"/>
            </w:r>
          </w:hyperlink>
        </w:p>
        <w:p w14:paraId="15017F2C" w14:textId="77777777" w:rsidR="00B06B6F" w:rsidRPr="00FC7951" w:rsidRDefault="00B06B6F" w:rsidP="00725F19">
          <w:pPr>
            <w:pStyle w:val="11"/>
            <w:rPr>
              <w:rFonts w:ascii="Times New Roman" w:eastAsiaTheme="minorEastAsia" w:hAnsi="Times New Roman"/>
              <w:noProof/>
              <w:sz w:val="22"/>
              <w:szCs w:val="22"/>
            </w:rPr>
          </w:pPr>
          <w:hyperlink w:anchor="_Toc107247760" w:history="1">
            <w:r w:rsidRPr="00FC7951">
              <w:rPr>
                <w:rStyle w:val="ab"/>
                <w:rFonts w:ascii="Times New Roman" w:hAnsi="Times New Roman"/>
                <w:noProof/>
              </w:rPr>
              <w:t>2.</w:t>
            </w:r>
            <w:r w:rsidRPr="00FC7951">
              <w:rPr>
                <w:rFonts w:ascii="Times New Roman" w:eastAsiaTheme="minorEastAsia" w:hAnsi="Times New Roman"/>
                <w:noProof/>
                <w:sz w:val="22"/>
                <w:szCs w:val="22"/>
              </w:rPr>
              <w:tab/>
            </w:r>
            <w:r w:rsidRPr="00FC7951">
              <w:rPr>
                <w:rStyle w:val="ab"/>
                <w:rFonts w:ascii="Times New Roman" w:hAnsi="Times New Roman"/>
                <w:noProof/>
              </w:rPr>
              <w:t>ОТВЕТСТВЕННОСТЬ И ОБЛАСТЬ ПРИМЕНЕНИЯ</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_Toc107247760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w:t>
            </w:r>
            <w:r w:rsidRPr="00FC7951">
              <w:rPr>
                <w:rFonts w:ascii="Times New Roman" w:hAnsi="Times New Roman"/>
                <w:noProof/>
                <w:webHidden/>
              </w:rPr>
              <w:fldChar w:fldCharType="end"/>
            </w:r>
          </w:hyperlink>
        </w:p>
        <w:p w14:paraId="75786BD6" w14:textId="77777777" w:rsidR="00B06B6F" w:rsidRPr="00FC7951" w:rsidRDefault="00B06B6F" w:rsidP="00725F19">
          <w:pPr>
            <w:pStyle w:val="11"/>
            <w:rPr>
              <w:rFonts w:ascii="Times New Roman" w:eastAsiaTheme="minorEastAsia" w:hAnsi="Times New Roman"/>
              <w:noProof/>
              <w:sz w:val="22"/>
              <w:szCs w:val="22"/>
            </w:rPr>
          </w:pPr>
          <w:hyperlink w:anchor="_Toc107247761" w:history="1">
            <w:r w:rsidRPr="00FC7951">
              <w:rPr>
                <w:rStyle w:val="ab"/>
                <w:rFonts w:ascii="Times New Roman" w:hAnsi="Times New Roman"/>
                <w:noProof/>
              </w:rPr>
              <w:t>3.</w:t>
            </w:r>
            <w:r w:rsidRPr="00FC7951">
              <w:rPr>
                <w:rFonts w:ascii="Times New Roman" w:eastAsiaTheme="minorEastAsia" w:hAnsi="Times New Roman"/>
                <w:noProof/>
                <w:sz w:val="22"/>
                <w:szCs w:val="22"/>
              </w:rPr>
              <w:tab/>
            </w:r>
            <w:r w:rsidRPr="00FC7951">
              <w:rPr>
                <w:rStyle w:val="ab"/>
                <w:rFonts w:ascii="Times New Roman" w:hAnsi="Times New Roman"/>
                <w:noProof/>
              </w:rPr>
              <w:t>ОПРЕДЕЛЕНИЯ РОЛЕЙ И ТЕРМИНОВ</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_Toc107247761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w:t>
            </w:r>
            <w:r w:rsidRPr="00FC7951">
              <w:rPr>
                <w:rFonts w:ascii="Times New Roman" w:hAnsi="Times New Roman"/>
                <w:noProof/>
                <w:webHidden/>
              </w:rPr>
              <w:fldChar w:fldCharType="end"/>
            </w:r>
          </w:hyperlink>
        </w:p>
        <w:p w14:paraId="27CDDB11" w14:textId="77777777" w:rsidR="00B06B6F" w:rsidRPr="00FC7951" w:rsidRDefault="00B06B6F" w:rsidP="00725F19">
          <w:pPr>
            <w:pStyle w:val="11"/>
            <w:rPr>
              <w:rFonts w:ascii="Times New Roman" w:eastAsiaTheme="minorEastAsia" w:hAnsi="Times New Roman"/>
              <w:noProof/>
              <w:sz w:val="22"/>
              <w:szCs w:val="22"/>
            </w:rPr>
          </w:pPr>
          <w:hyperlink w:anchor="_Toc107247762" w:history="1">
            <w:r w:rsidRPr="00FC7951">
              <w:rPr>
                <w:rStyle w:val="ab"/>
                <w:rFonts w:ascii="Times New Roman" w:hAnsi="Times New Roman"/>
                <w:noProof/>
              </w:rPr>
              <w:t>4.</w:t>
            </w:r>
            <w:r w:rsidRPr="00FC7951">
              <w:rPr>
                <w:rFonts w:ascii="Times New Roman" w:eastAsiaTheme="minorEastAsia" w:hAnsi="Times New Roman"/>
                <w:noProof/>
                <w:sz w:val="22"/>
                <w:szCs w:val="22"/>
              </w:rPr>
              <w:tab/>
            </w:r>
            <w:r w:rsidRPr="00FC7951">
              <w:rPr>
                <w:rStyle w:val="ab"/>
                <w:rFonts w:ascii="Times New Roman" w:hAnsi="Times New Roman"/>
                <w:noProof/>
              </w:rPr>
              <w:t>НАЗНАЧЕНИЕ</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_Toc107247762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5</w:t>
            </w:r>
            <w:r w:rsidRPr="00FC7951">
              <w:rPr>
                <w:rFonts w:ascii="Times New Roman" w:hAnsi="Times New Roman"/>
                <w:noProof/>
                <w:webHidden/>
              </w:rPr>
              <w:fldChar w:fldCharType="end"/>
            </w:r>
          </w:hyperlink>
        </w:p>
        <w:p w14:paraId="1F59EB6D" w14:textId="77777777" w:rsidR="00B06B6F" w:rsidRPr="00FC7951" w:rsidRDefault="00B06B6F" w:rsidP="00725F19">
          <w:pPr>
            <w:pStyle w:val="11"/>
            <w:rPr>
              <w:rFonts w:ascii="Times New Roman" w:eastAsiaTheme="minorEastAsia" w:hAnsi="Times New Roman"/>
              <w:noProof/>
              <w:sz w:val="22"/>
              <w:szCs w:val="22"/>
            </w:rPr>
          </w:pPr>
          <w:hyperlink w:anchor="_Toc107247763" w:history="1">
            <w:r w:rsidRPr="00FC7951">
              <w:rPr>
                <w:rStyle w:val="ab"/>
                <w:rFonts w:ascii="Times New Roman" w:hAnsi="Times New Roman"/>
                <w:noProof/>
              </w:rPr>
              <w:t>5.</w:t>
            </w:r>
            <w:r w:rsidRPr="00FC7951">
              <w:rPr>
                <w:rFonts w:ascii="Times New Roman" w:eastAsiaTheme="minorEastAsia" w:hAnsi="Times New Roman"/>
                <w:noProof/>
                <w:sz w:val="22"/>
                <w:szCs w:val="22"/>
              </w:rPr>
              <w:tab/>
            </w:r>
            <w:r w:rsidRPr="00FC7951">
              <w:rPr>
                <w:rStyle w:val="ab"/>
                <w:rFonts w:ascii="Times New Roman" w:hAnsi="Times New Roman"/>
                <w:noProof/>
              </w:rPr>
              <w:t>ОБЩИЕ ПОЛОЖЕНИЯ</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_Toc107247763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6</w:t>
            </w:r>
            <w:r w:rsidRPr="00FC7951">
              <w:rPr>
                <w:rFonts w:ascii="Times New Roman" w:hAnsi="Times New Roman"/>
                <w:noProof/>
                <w:webHidden/>
              </w:rPr>
              <w:fldChar w:fldCharType="end"/>
            </w:r>
          </w:hyperlink>
        </w:p>
        <w:p w14:paraId="57A97CAD" w14:textId="77777777" w:rsidR="00B06B6F" w:rsidRPr="00FC7951" w:rsidRDefault="00B06B6F" w:rsidP="00725F19">
          <w:pPr>
            <w:pStyle w:val="11"/>
            <w:rPr>
              <w:rFonts w:ascii="Times New Roman" w:eastAsiaTheme="minorEastAsia" w:hAnsi="Times New Roman"/>
              <w:noProof/>
              <w:sz w:val="22"/>
              <w:szCs w:val="22"/>
            </w:rPr>
          </w:pPr>
          <w:hyperlink w:anchor="_Toc107247771" w:history="1">
            <w:r w:rsidRPr="00FC7951">
              <w:rPr>
                <w:rStyle w:val="ab"/>
                <w:rFonts w:ascii="Times New Roman" w:hAnsi="Times New Roman"/>
                <w:noProof/>
              </w:rPr>
              <w:t>6.</w:t>
            </w:r>
            <w:r w:rsidRPr="00FC7951">
              <w:rPr>
                <w:rFonts w:ascii="Times New Roman" w:eastAsiaTheme="minorEastAsia" w:hAnsi="Times New Roman"/>
                <w:noProof/>
                <w:sz w:val="22"/>
                <w:szCs w:val="22"/>
              </w:rPr>
              <w:tab/>
            </w:r>
            <w:r w:rsidRPr="00FC7951">
              <w:rPr>
                <w:rStyle w:val="ab"/>
                <w:rFonts w:ascii="Times New Roman" w:hAnsi="Times New Roman"/>
                <w:noProof/>
              </w:rPr>
              <w:t>ИНФОРМАЦИЯ, ИСПОЛЬЗУЕМАЯ ДЛЯ ОЦЕНКИ</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_Toc107247771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7</w:t>
            </w:r>
            <w:r w:rsidRPr="00FC7951">
              <w:rPr>
                <w:rFonts w:ascii="Times New Roman" w:hAnsi="Times New Roman"/>
                <w:noProof/>
                <w:webHidden/>
              </w:rPr>
              <w:fldChar w:fldCharType="end"/>
            </w:r>
          </w:hyperlink>
        </w:p>
        <w:p w14:paraId="1C20EF03" w14:textId="77777777" w:rsidR="00B06B6F" w:rsidRPr="00FC7951" w:rsidRDefault="00B06B6F" w:rsidP="00725F19">
          <w:pPr>
            <w:pStyle w:val="11"/>
            <w:rPr>
              <w:rFonts w:ascii="Times New Roman" w:eastAsiaTheme="minorEastAsia" w:hAnsi="Times New Roman"/>
              <w:noProof/>
              <w:sz w:val="22"/>
              <w:szCs w:val="22"/>
            </w:rPr>
          </w:pPr>
          <w:hyperlink w:anchor="_Toc107247772" w:history="1">
            <w:r w:rsidRPr="00FC7951">
              <w:rPr>
                <w:rStyle w:val="ab"/>
                <w:rFonts w:ascii="Times New Roman" w:hAnsi="Times New Roman"/>
                <w:noProof/>
              </w:rPr>
              <w:t>7.</w:t>
            </w:r>
            <w:r w:rsidRPr="00FC7951">
              <w:rPr>
                <w:rFonts w:ascii="Times New Roman" w:eastAsiaTheme="minorEastAsia" w:hAnsi="Times New Roman"/>
                <w:noProof/>
                <w:sz w:val="22"/>
                <w:szCs w:val="22"/>
              </w:rPr>
              <w:tab/>
            </w:r>
            <w:r w:rsidRPr="00FC7951">
              <w:rPr>
                <w:rStyle w:val="ab"/>
                <w:rFonts w:ascii="Times New Roman" w:hAnsi="Times New Roman"/>
                <w:noProof/>
              </w:rPr>
              <w:t>ГРУППА ФИНАНСОВЫХ ПОКАЗАТЕЛЕЙ</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_Toc107247772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8</w:t>
            </w:r>
            <w:r w:rsidRPr="00FC7951">
              <w:rPr>
                <w:rFonts w:ascii="Times New Roman" w:hAnsi="Times New Roman"/>
                <w:noProof/>
                <w:webHidden/>
              </w:rPr>
              <w:fldChar w:fldCharType="end"/>
            </w:r>
          </w:hyperlink>
        </w:p>
        <w:p w14:paraId="367E0ABA" w14:textId="77777777" w:rsidR="00B06B6F" w:rsidRPr="00FC7951" w:rsidRDefault="00B06B6F" w:rsidP="00725F19">
          <w:pPr>
            <w:pStyle w:val="11"/>
            <w:rPr>
              <w:rFonts w:ascii="Times New Roman" w:eastAsiaTheme="minorEastAsia" w:hAnsi="Times New Roman"/>
              <w:noProof/>
              <w:sz w:val="22"/>
              <w:szCs w:val="22"/>
            </w:rPr>
          </w:pPr>
          <w:hyperlink w:anchor="_Toc107247773" w:history="1">
            <w:r w:rsidRPr="00FC7951">
              <w:rPr>
                <w:rStyle w:val="ab"/>
                <w:rFonts w:ascii="Times New Roman" w:hAnsi="Times New Roman"/>
                <w:noProof/>
              </w:rPr>
              <w:t>8.</w:t>
            </w:r>
            <w:r w:rsidRPr="00FC7951">
              <w:rPr>
                <w:rFonts w:ascii="Times New Roman" w:eastAsiaTheme="minorEastAsia" w:hAnsi="Times New Roman"/>
                <w:noProof/>
                <w:sz w:val="22"/>
                <w:szCs w:val="22"/>
              </w:rPr>
              <w:tab/>
            </w:r>
            <w:r w:rsidRPr="00FC7951">
              <w:rPr>
                <w:rStyle w:val="ab"/>
                <w:rFonts w:ascii="Times New Roman" w:hAnsi="Times New Roman"/>
                <w:noProof/>
              </w:rPr>
              <w:t>ГРУППА ПОКАЗАТЕЛЕЙ БИЗНЕС-РИСКА</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_Toc107247773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10</w:t>
            </w:r>
            <w:r w:rsidRPr="00FC7951">
              <w:rPr>
                <w:rFonts w:ascii="Times New Roman" w:hAnsi="Times New Roman"/>
                <w:noProof/>
                <w:webHidden/>
              </w:rPr>
              <w:fldChar w:fldCharType="end"/>
            </w:r>
          </w:hyperlink>
        </w:p>
        <w:p w14:paraId="1C6E43BC" w14:textId="77777777" w:rsidR="00B06B6F" w:rsidRPr="00FC7951" w:rsidRDefault="00B06B6F" w:rsidP="00725F19">
          <w:pPr>
            <w:pStyle w:val="11"/>
            <w:rPr>
              <w:rFonts w:ascii="Times New Roman" w:eastAsiaTheme="minorEastAsia" w:hAnsi="Times New Roman"/>
              <w:noProof/>
              <w:sz w:val="22"/>
              <w:szCs w:val="22"/>
            </w:rPr>
          </w:pPr>
          <w:hyperlink w:anchor="_Toc107247774" w:history="1">
            <w:r w:rsidRPr="00FC7951">
              <w:rPr>
                <w:rStyle w:val="ab"/>
                <w:rFonts w:ascii="Times New Roman" w:hAnsi="Times New Roman"/>
                <w:noProof/>
              </w:rPr>
              <w:t>9.</w:t>
            </w:r>
            <w:r w:rsidRPr="00FC7951">
              <w:rPr>
                <w:rFonts w:ascii="Times New Roman" w:eastAsiaTheme="minorEastAsia" w:hAnsi="Times New Roman"/>
                <w:noProof/>
                <w:sz w:val="22"/>
                <w:szCs w:val="22"/>
              </w:rPr>
              <w:tab/>
            </w:r>
            <w:r w:rsidRPr="00FC7951">
              <w:rPr>
                <w:rStyle w:val="ab"/>
                <w:rFonts w:ascii="Times New Roman" w:hAnsi="Times New Roman"/>
                <w:noProof/>
              </w:rPr>
              <w:t>ВЕСОВЫЕ КОЭФФИЦИЕНТЫ И ФОРМИРОВАНИЕ ПЕРВИЧНОЙ ОЦЕНКИ</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_Toc107247774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12</w:t>
            </w:r>
            <w:r w:rsidRPr="00FC7951">
              <w:rPr>
                <w:rFonts w:ascii="Times New Roman" w:hAnsi="Times New Roman"/>
                <w:noProof/>
                <w:webHidden/>
              </w:rPr>
              <w:fldChar w:fldCharType="end"/>
            </w:r>
          </w:hyperlink>
        </w:p>
        <w:p w14:paraId="4D2945AF" w14:textId="77777777" w:rsidR="00B06B6F" w:rsidRPr="00FC7951" w:rsidRDefault="00B06B6F" w:rsidP="00725F19">
          <w:pPr>
            <w:pStyle w:val="11"/>
            <w:rPr>
              <w:rFonts w:ascii="Times New Roman" w:eastAsiaTheme="minorEastAsia" w:hAnsi="Times New Roman"/>
              <w:noProof/>
              <w:sz w:val="22"/>
              <w:szCs w:val="22"/>
            </w:rPr>
          </w:pPr>
          <w:hyperlink w:anchor="_Toc107247775" w:history="1">
            <w:r w:rsidRPr="00FC7951">
              <w:rPr>
                <w:rStyle w:val="ab"/>
                <w:rFonts w:ascii="Times New Roman" w:hAnsi="Times New Roman"/>
                <w:noProof/>
              </w:rPr>
              <w:t>10.</w:t>
            </w:r>
            <w:r w:rsidRPr="00FC7951">
              <w:rPr>
                <w:rFonts w:ascii="Times New Roman" w:eastAsiaTheme="minorEastAsia" w:hAnsi="Times New Roman"/>
                <w:noProof/>
                <w:sz w:val="22"/>
                <w:szCs w:val="22"/>
              </w:rPr>
              <w:tab/>
            </w:r>
            <w:r w:rsidRPr="00FC7951">
              <w:rPr>
                <w:rStyle w:val="ab"/>
                <w:rFonts w:ascii="Times New Roman" w:hAnsi="Times New Roman"/>
                <w:noProof/>
              </w:rPr>
              <w:t>ОТБОРОЧНАЯ СТАДИЯ</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_Toc107247775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15</w:t>
            </w:r>
            <w:r w:rsidRPr="00FC7951">
              <w:rPr>
                <w:rFonts w:ascii="Times New Roman" w:hAnsi="Times New Roman"/>
                <w:noProof/>
                <w:webHidden/>
              </w:rPr>
              <w:fldChar w:fldCharType="end"/>
            </w:r>
          </w:hyperlink>
        </w:p>
        <w:p w14:paraId="436321DE" w14:textId="77777777" w:rsidR="00B06B6F" w:rsidRPr="00FC7951" w:rsidRDefault="00B06B6F" w:rsidP="00725F19">
          <w:pPr>
            <w:pStyle w:val="11"/>
            <w:rPr>
              <w:rFonts w:ascii="Times New Roman" w:eastAsiaTheme="minorEastAsia" w:hAnsi="Times New Roman"/>
              <w:noProof/>
              <w:sz w:val="22"/>
              <w:szCs w:val="22"/>
            </w:rPr>
          </w:pPr>
          <w:hyperlink w:anchor="_Toc107247776" w:history="1">
            <w:r w:rsidRPr="00FC7951">
              <w:rPr>
                <w:rStyle w:val="ab"/>
                <w:rFonts w:ascii="Times New Roman" w:hAnsi="Times New Roman"/>
                <w:noProof/>
              </w:rPr>
              <w:t>11.</w:t>
            </w:r>
            <w:r w:rsidRPr="00FC7951">
              <w:rPr>
                <w:rFonts w:ascii="Times New Roman" w:eastAsiaTheme="minorEastAsia" w:hAnsi="Times New Roman"/>
                <w:noProof/>
                <w:sz w:val="22"/>
                <w:szCs w:val="22"/>
              </w:rPr>
              <w:tab/>
            </w:r>
            <w:r w:rsidRPr="00FC7951">
              <w:rPr>
                <w:rStyle w:val="ab"/>
                <w:rFonts w:ascii="Times New Roman" w:hAnsi="Times New Roman"/>
                <w:noProof/>
              </w:rPr>
              <w:t>ОЦЕНОЧНАЯ СТАДИЯ</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_Toc107247776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17</w:t>
            </w:r>
            <w:r w:rsidRPr="00FC7951">
              <w:rPr>
                <w:rFonts w:ascii="Times New Roman" w:hAnsi="Times New Roman"/>
                <w:noProof/>
                <w:webHidden/>
              </w:rPr>
              <w:fldChar w:fldCharType="end"/>
            </w:r>
          </w:hyperlink>
        </w:p>
        <w:p w14:paraId="4D170C94" w14:textId="77777777" w:rsidR="00B06B6F" w:rsidRPr="00FC7951" w:rsidRDefault="00B06B6F" w:rsidP="00725F19">
          <w:pPr>
            <w:pStyle w:val="11"/>
            <w:rPr>
              <w:rFonts w:ascii="Times New Roman" w:eastAsiaTheme="minorEastAsia" w:hAnsi="Times New Roman"/>
              <w:noProof/>
              <w:sz w:val="22"/>
              <w:szCs w:val="22"/>
            </w:rPr>
          </w:pPr>
          <w:hyperlink w:anchor="_Toc107247777" w:history="1">
            <w:r w:rsidRPr="00FC7951">
              <w:rPr>
                <w:rStyle w:val="ab"/>
                <w:rFonts w:ascii="Times New Roman" w:hAnsi="Times New Roman"/>
                <w:noProof/>
              </w:rPr>
              <w:t>12.</w:t>
            </w:r>
            <w:r w:rsidRPr="00FC7951">
              <w:rPr>
                <w:rFonts w:ascii="Times New Roman" w:eastAsiaTheme="minorEastAsia" w:hAnsi="Times New Roman"/>
                <w:noProof/>
                <w:sz w:val="22"/>
                <w:szCs w:val="22"/>
              </w:rPr>
              <w:tab/>
            </w:r>
            <w:r w:rsidRPr="00FC7951">
              <w:rPr>
                <w:rStyle w:val="ab"/>
                <w:rFonts w:ascii="Times New Roman" w:hAnsi="Times New Roman"/>
                <w:noProof/>
              </w:rPr>
              <w:t>НОРМАТИВНЫЕ ССЫЛКИ</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_Toc107247777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18</w:t>
            </w:r>
            <w:r w:rsidRPr="00FC7951">
              <w:rPr>
                <w:rFonts w:ascii="Times New Roman" w:hAnsi="Times New Roman"/>
                <w:noProof/>
                <w:webHidden/>
              </w:rPr>
              <w:fldChar w:fldCharType="end"/>
            </w:r>
          </w:hyperlink>
        </w:p>
        <w:p w14:paraId="084A55D2" w14:textId="77777777" w:rsidR="00B06B6F" w:rsidRPr="00FC7951" w:rsidRDefault="00B06B6F" w:rsidP="00725F19">
          <w:pPr>
            <w:pStyle w:val="11"/>
            <w:rPr>
              <w:rFonts w:ascii="Times New Roman" w:eastAsiaTheme="minorEastAsia" w:hAnsi="Times New Roman"/>
              <w:noProof/>
              <w:sz w:val="22"/>
              <w:szCs w:val="22"/>
            </w:rPr>
          </w:pPr>
          <w:hyperlink w:anchor="_Toc107247778" w:history="1">
            <w:r w:rsidRPr="00FC7951">
              <w:rPr>
                <w:rStyle w:val="ab"/>
                <w:rFonts w:ascii="Times New Roman" w:hAnsi="Times New Roman"/>
                <w:noProof/>
              </w:rPr>
              <w:t>13.</w:t>
            </w:r>
            <w:r w:rsidRPr="00FC7951">
              <w:rPr>
                <w:rFonts w:ascii="Times New Roman" w:eastAsiaTheme="minorEastAsia" w:hAnsi="Times New Roman"/>
                <w:noProof/>
                <w:sz w:val="22"/>
                <w:szCs w:val="22"/>
              </w:rPr>
              <w:tab/>
            </w:r>
            <w:r w:rsidRPr="00FC7951">
              <w:rPr>
                <w:rStyle w:val="ab"/>
                <w:rFonts w:ascii="Times New Roman" w:hAnsi="Times New Roman"/>
                <w:noProof/>
              </w:rPr>
              <w:t>КОНТРОЛЬ ВЕРСИЙ ДОКУМЕНТА</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_Toc107247778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18</w:t>
            </w:r>
            <w:r w:rsidRPr="00FC7951">
              <w:rPr>
                <w:rFonts w:ascii="Times New Roman" w:hAnsi="Times New Roman"/>
                <w:noProof/>
                <w:webHidden/>
              </w:rPr>
              <w:fldChar w:fldCharType="end"/>
            </w:r>
          </w:hyperlink>
        </w:p>
        <w:p w14:paraId="26CB1AC7" w14:textId="77777777" w:rsidR="00B06B6F" w:rsidRPr="00FC7951" w:rsidRDefault="00B06B6F" w:rsidP="00725F19">
          <w:pPr>
            <w:pStyle w:val="11"/>
            <w:rPr>
              <w:rFonts w:ascii="Times New Roman" w:eastAsiaTheme="minorEastAsia" w:hAnsi="Times New Roman"/>
              <w:noProof/>
              <w:sz w:val="22"/>
              <w:szCs w:val="22"/>
            </w:rPr>
          </w:pPr>
          <w:hyperlink w:anchor="_Toc107247779" w:history="1">
            <w:r w:rsidRPr="00FC7951">
              <w:rPr>
                <w:rStyle w:val="ab"/>
                <w:rFonts w:ascii="Times New Roman" w:hAnsi="Times New Roman"/>
                <w:noProof/>
              </w:rPr>
              <w:t>14.</w:t>
            </w:r>
            <w:r w:rsidRPr="00FC7951">
              <w:rPr>
                <w:rFonts w:ascii="Times New Roman" w:eastAsiaTheme="minorEastAsia" w:hAnsi="Times New Roman"/>
                <w:noProof/>
                <w:sz w:val="22"/>
                <w:szCs w:val="22"/>
              </w:rPr>
              <w:tab/>
            </w:r>
            <w:r w:rsidRPr="00FC7951">
              <w:rPr>
                <w:rStyle w:val="ab"/>
                <w:rFonts w:ascii="Times New Roman" w:hAnsi="Times New Roman"/>
                <w:noProof/>
              </w:rPr>
              <w:t>ПРИЛОЖЕНИЯ</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_Toc107247779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19</w:t>
            </w:r>
            <w:r w:rsidRPr="00FC7951">
              <w:rPr>
                <w:rFonts w:ascii="Times New Roman" w:hAnsi="Times New Roman"/>
                <w:noProof/>
                <w:webHidden/>
              </w:rPr>
              <w:fldChar w:fldCharType="end"/>
            </w:r>
          </w:hyperlink>
        </w:p>
        <w:p w14:paraId="58CF14B1" w14:textId="77777777" w:rsidR="00B06B6F" w:rsidRPr="00FC7951" w:rsidRDefault="00B06B6F" w:rsidP="00725F19">
          <w:pPr>
            <w:pStyle w:val="11"/>
            <w:rPr>
              <w:rFonts w:ascii="Times New Roman" w:eastAsiaTheme="minorEastAsia" w:hAnsi="Times New Roman"/>
              <w:noProof/>
              <w:sz w:val="22"/>
              <w:szCs w:val="22"/>
            </w:rPr>
          </w:pPr>
          <w:hyperlink w:anchor="_Toc107247782" w:history="1">
            <w:r w:rsidRPr="00FC7951">
              <w:rPr>
                <w:rStyle w:val="ab"/>
                <w:rFonts w:ascii="Times New Roman" w:hAnsi="Times New Roman"/>
                <w:noProof/>
              </w:rPr>
              <w:t>Приложение 1 Разграничение функциональных обязанностей по проведению финансово-экономической экспертизы</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_Toc107247782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20</w:t>
            </w:r>
            <w:r w:rsidRPr="00FC7951">
              <w:rPr>
                <w:rFonts w:ascii="Times New Roman" w:hAnsi="Times New Roman"/>
                <w:noProof/>
                <w:webHidden/>
              </w:rPr>
              <w:fldChar w:fldCharType="end"/>
            </w:r>
          </w:hyperlink>
        </w:p>
        <w:p w14:paraId="1B59A052" w14:textId="77777777" w:rsidR="00B06B6F" w:rsidRPr="00FC7951" w:rsidRDefault="00B06B6F" w:rsidP="00725F19">
          <w:pPr>
            <w:pStyle w:val="11"/>
            <w:rPr>
              <w:rFonts w:ascii="Times New Roman" w:eastAsiaTheme="minorEastAsia" w:hAnsi="Times New Roman"/>
              <w:noProof/>
              <w:sz w:val="22"/>
              <w:szCs w:val="22"/>
            </w:rPr>
          </w:pPr>
          <w:hyperlink w:anchor="_Toc107247785" w:history="1">
            <w:r w:rsidRPr="00FC7951">
              <w:rPr>
                <w:rStyle w:val="ab"/>
                <w:rFonts w:ascii="Times New Roman" w:hAnsi="Times New Roman"/>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Pr="00FC7951">
              <w:rPr>
                <w:rStyle w:val="ab"/>
                <w:rFonts w:ascii="Times New Roman" w:hAnsi="Times New Roman"/>
                <w:noProof/>
                <w:lang w:val="en-US"/>
              </w:rPr>
              <w:t>xls</w:t>
            </w:r>
            <w:r w:rsidRPr="00FC7951">
              <w:rPr>
                <w:rStyle w:val="ab"/>
                <w:rFonts w:ascii="Times New Roman" w:hAnsi="Times New Roman"/>
                <w:noProof/>
              </w:rPr>
              <w:t>»</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_Toc107247785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22</w:t>
            </w:r>
            <w:r w:rsidRPr="00FC7951">
              <w:rPr>
                <w:rFonts w:ascii="Times New Roman" w:hAnsi="Times New Roman"/>
                <w:noProof/>
                <w:webHidden/>
              </w:rPr>
              <w:fldChar w:fldCharType="end"/>
            </w:r>
          </w:hyperlink>
        </w:p>
        <w:p w14:paraId="58683158" w14:textId="77777777" w:rsidR="00B06B6F" w:rsidRPr="00FC7951" w:rsidRDefault="00B06B6F" w:rsidP="00725F19">
          <w:pPr>
            <w:pStyle w:val="11"/>
            <w:rPr>
              <w:rFonts w:ascii="Times New Roman" w:eastAsiaTheme="minorEastAsia" w:hAnsi="Times New Roman"/>
              <w:noProof/>
              <w:sz w:val="22"/>
              <w:szCs w:val="22"/>
            </w:rPr>
          </w:pPr>
          <w:hyperlink w:anchor="_Toc107247786" w:history="1">
            <w:r w:rsidRPr="00FC7951">
              <w:rPr>
                <w:rStyle w:val="ab"/>
                <w:rFonts w:ascii="Times New Roman" w:hAnsi="Times New Roman"/>
                <w:noProof/>
              </w:rPr>
              <w:t>Приложение 3 Формат заключения по направлению финансово-экономической экспертизы с использованием шаблона «Финэкспертиза.</w:t>
            </w:r>
            <w:r w:rsidRPr="00FC7951">
              <w:rPr>
                <w:rStyle w:val="ab"/>
                <w:rFonts w:ascii="Times New Roman" w:hAnsi="Times New Roman"/>
                <w:noProof/>
                <w:lang w:val="en-US"/>
              </w:rPr>
              <w:t>xls</w:t>
            </w:r>
            <w:r w:rsidRPr="00FC7951">
              <w:rPr>
                <w:rStyle w:val="ab"/>
                <w:rFonts w:ascii="Times New Roman" w:hAnsi="Times New Roman"/>
                <w:noProof/>
              </w:rPr>
              <w:t>»</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_Toc107247786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34</w:t>
            </w:r>
            <w:r w:rsidRPr="00FC7951">
              <w:rPr>
                <w:rFonts w:ascii="Times New Roman" w:hAnsi="Times New Roman"/>
                <w:noProof/>
                <w:webHidden/>
              </w:rPr>
              <w:fldChar w:fldCharType="end"/>
            </w:r>
          </w:hyperlink>
        </w:p>
        <w:p w14:paraId="3039E8B8" w14:textId="77777777" w:rsidR="00B06B6F" w:rsidRPr="00FC7951" w:rsidRDefault="00B06B6F" w:rsidP="00725F19">
          <w:pPr>
            <w:pStyle w:val="11"/>
            <w:rPr>
              <w:rFonts w:ascii="Times New Roman" w:eastAsiaTheme="minorEastAsia" w:hAnsi="Times New Roman"/>
              <w:noProof/>
              <w:sz w:val="22"/>
              <w:szCs w:val="22"/>
            </w:rPr>
          </w:pPr>
          <w:hyperlink w:anchor="_Toc107247788" w:history="1">
            <w:r w:rsidRPr="00FC7951">
              <w:rPr>
                <w:rStyle w:val="ab"/>
                <w:rFonts w:ascii="Times New Roman" w:hAnsi="Times New Roman"/>
                <w:noProof/>
              </w:rPr>
              <w:t>Приложение 4 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_Toc107247788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36</w:t>
            </w:r>
            <w:r w:rsidRPr="00FC7951">
              <w:rPr>
                <w:rFonts w:ascii="Times New Roman" w:hAnsi="Times New Roman"/>
                <w:noProof/>
                <w:webHidden/>
              </w:rPr>
              <w:fldChar w:fldCharType="end"/>
            </w:r>
          </w:hyperlink>
        </w:p>
        <w:p w14:paraId="38A195F7" w14:textId="77777777" w:rsidR="00B06B6F" w:rsidRPr="00FC7951" w:rsidRDefault="00B06B6F" w:rsidP="00725F19">
          <w:pPr>
            <w:pStyle w:val="11"/>
            <w:rPr>
              <w:rFonts w:ascii="Times New Roman" w:hAnsi="Times New Roman"/>
            </w:rPr>
          </w:pPr>
          <w:r w:rsidRPr="00FC7951">
            <w:rPr>
              <w:rFonts w:ascii="Times New Roman" w:hAnsi="Times New Roman"/>
            </w:rPr>
            <w:fldChar w:fldCharType="end"/>
          </w:r>
        </w:p>
      </w:sdtContent>
    </w:sdt>
    <w:p w14:paraId="2A02E445" w14:textId="77777777" w:rsidR="00B06B6F" w:rsidRPr="00FC7951" w:rsidRDefault="00B06B6F" w:rsidP="00725F19">
      <w:pPr>
        <w:pStyle w:val="11"/>
        <w:rPr>
          <w:rFonts w:ascii="Times New Roman" w:hAnsi="Times New Roman"/>
          <w:noProof/>
        </w:rPr>
      </w:pPr>
    </w:p>
    <w:p w14:paraId="4BFC061B" w14:textId="77777777" w:rsidR="00B06B6F" w:rsidRPr="00FC7951" w:rsidRDefault="00B06B6F" w:rsidP="00725F19">
      <w:pPr>
        <w:spacing w:after="200" w:line="276" w:lineRule="auto"/>
        <w:rPr>
          <w:rFonts w:ascii="Times New Roman" w:hAnsi="Times New Roman" w:cs="Times New Roman"/>
          <w:b/>
        </w:rPr>
      </w:pPr>
      <w:r w:rsidRPr="00FC7951">
        <w:rPr>
          <w:rFonts w:ascii="Times New Roman" w:hAnsi="Times New Roman" w:cs="Times New Roman"/>
          <w:b/>
        </w:rPr>
        <w:br w:type="page"/>
      </w:r>
    </w:p>
    <w:p w14:paraId="1E8307E3" w14:textId="77777777" w:rsidR="00B06B6F" w:rsidRPr="00FC7951" w:rsidRDefault="00B06B6F" w:rsidP="00725F19">
      <w:pPr>
        <w:pStyle w:val="1"/>
        <w:tabs>
          <w:tab w:val="clear" w:pos="1353"/>
          <w:tab w:val="left" w:pos="1134"/>
          <w:tab w:val="num" w:pos="1418"/>
        </w:tabs>
        <w:ind w:left="0" w:firstLine="709"/>
      </w:pPr>
      <w:bookmarkStart w:id="0" w:name="_Toc107244327"/>
      <w:bookmarkStart w:id="1" w:name="_Toc107247759"/>
      <w:r w:rsidRPr="00FC7951">
        <w:lastRenderedPageBreak/>
        <w:t>ИНФОРМАЦИЯ О ДОКУМЕНТЕ</w:t>
      </w:r>
      <w:bookmarkEnd w:id="0"/>
      <w:bookmarkEnd w:id="1"/>
    </w:p>
    <w:tbl>
      <w:tblPr>
        <w:tblW w:w="9436"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2977"/>
        <w:gridCol w:w="6459"/>
      </w:tblGrid>
      <w:tr w:rsidR="00B06B6F" w:rsidRPr="00FC7951" w14:paraId="4A1B1E02" w14:textId="77777777" w:rsidTr="00725F19">
        <w:trPr>
          <w:trHeight w:val="284"/>
        </w:trPr>
        <w:tc>
          <w:tcPr>
            <w:tcW w:w="2977" w:type="dxa"/>
            <w:shd w:val="clear" w:color="auto" w:fill="FFFFFF"/>
            <w:tcMar>
              <w:left w:w="57" w:type="dxa"/>
              <w:right w:w="57" w:type="dxa"/>
            </w:tcMar>
            <w:vAlign w:val="center"/>
          </w:tcPr>
          <w:p w14:paraId="23D24D48" w14:textId="77777777" w:rsidR="00B06B6F" w:rsidRPr="00FC7951" w:rsidRDefault="00B06B6F" w:rsidP="00725F19">
            <w:pPr>
              <w:pStyle w:val="m0"/>
              <w:rPr>
                <w:b/>
                <w:sz w:val="24"/>
              </w:rPr>
            </w:pPr>
            <w:r w:rsidRPr="00FC7951">
              <w:rPr>
                <w:b/>
                <w:sz w:val="24"/>
              </w:rPr>
              <w:t>Краткое описание документа</w:t>
            </w:r>
          </w:p>
        </w:tc>
        <w:tc>
          <w:tcPr>
            <w:tcW w:w="6459" w:type="dxa"/>
            <w:vAlign w:val="center"/>
          </w:tcPr>
          <w:p w14:paraId="55EB9760" w14:textId="77777777" w:rsidR="00B06B6F" w:rsidRPr="00FC7951" w:rsidRDefault="00B06B6F" w:rsidP="00725F19">
            <w:pPr>
              <w:pStyle w:val="m"/>
              <w:ind w:left="184" w:right="119"/>
            </w:pPr>
            <w:r w:rsidRPr="00FC7951">
              <w:t>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повышение обоснованности принимаемых управленческих решений при проведении закупочной процедуры, в том числе способом «у единственного поставщика»</w:t>
            </w:r>
          </w:p>
        </w:tc>
      </w:tr>
      <w:tr w:rsidR="00B06B6F" w:rsidRPr="00FC7951" w14:paraId="281AFB35" w14:textId="77777777" w:rsidTr="00725F19">
        <w:trPr>
          <w:trHeight w:val="366"/>
        </w:trPr>
        <w:tc>
          <w:tcPr>
            <w:tcW w:w="2977" w:type="dxa"/>
            <w:shd w:val="clear" w:color="auto" w:fill="FFFFFF"/>
            <w:tcMar>
              <w:left w:w="57" w:type="dxa"/>
              <w:right w:w="57" w:type="dxa"/>
            </w:tcMar>
            <w:vAlign w:val="center"/>
          </w:tcPr>
          <w:p w14:paraId="0D5B0E4B" w14:textId="77777777" w:rsidR="00B06B6F" w:rsidRPr="00FC7951" w:rsidRDefault="00B06B6F" w:rsidP="00725F19">
            <w:pPr>
              <w:pStyle w:val="m0"/>
              <w:rPr>
                <w:b/>
                <w:sz w:val="24"/>
              </w:rPr>
            </w:pPr>
            <w:r w:rsidRPr="00FC7951">
              <w:rPr>
                <w:b/>
                <w:sz w:val="24"/>
              </w:rPr>
              <w:t xml:space="preserve">Корпоративный стандарт </w:t>
            </w:r>
          </w:p>
        </w:tc>
        <w:tc>
          <w:tcPr>
            <w:tcW w:w="6459" w:type="dxa"/>
            <w:vAlign w:val="center"/>
          </w:tcPr>
          <w:p w14:paraId="7940055F" w14:textId="77777777" w:rsidR="00B06B6F" w:rsidRPr="00FC7951" w:rsidRDefault="00B06B6F" w:rsidP="00725F19">
            <w:pPr>
              <w:pStyle w:val="m0"/>
              <w:ind w:left="184"/>
              <w:rPr>
                <w:sz w:val="24"/>
                <w:lang w:val="en-US"/>
              </w:rPr>
            </w:pPr>
            <w:r w:rsidRPr="00FC7951">
              <w:rPr>
                <w:sz w:val="24"/>
              </w:rPr>
              <w:t>да</w:t>
            </w:r>
          </w:p>
        </w:tc>
      </w:tr>
      <w:tr w:rsidR="00B06B6F" w:rsidRPr="00FC7951" w14:paraId="749F1617" w14:textId="77777777" w:rsidTr="00725F19">
        <w:trPr>
          <w:trHeight w:val="366"/>
        </w:trPr>
        <w:tc>
          <w:tcPr>
            <w:tcW w:w="2977" w:type="dxa"/>
            <w:shd w:val="clear" w:color="auto" w:fill="FFFFFF"/>
            <w:tcMar>
              <w:left w:w="57" w:type="dxa"/>
              <w:right w:w="57" w:type="dxa"/>
            </w:tcMar>
            <w:vAlign w:val="center"/>
          </w:tcPr>
          <w:p w14:paraId="2E23F719" w14:textId="77777777" w:rsidR="00B06B6F" w:rsidRPr="00FC7951" w:rsidRDefault="00B06B6F" w:rsidP="00725F19">
            <w:pPr>
              <w:pStyle w:val="m0"/>
              <w:rPr>
                <w:b/>
                <w:sz w:val="24"/>
              </w:rPr>
            </w:pPr>
            <w:r w:rsidRPr="00FC7951">
              <w:rPr>
                <w:b/>
                <w:sz w:val="24"/>
              </w:rPr>
              <w:t>Ограничение доступа</w:t>
            </w:r>
          </w:p>
        </w:tc>
        <w:tc>
          <w:tcPr>
            <w:tcW w:w="6459" w:type="dxa"/>
            <w:vAlign w:val="center"/>
          </w:tcPr>
          <w:p w14:paraId="34CB4191" w14:textId="77777777" w:rsidR="00B06B6F" w:rsidRPr="00FC7951" w:rsidRDefault="00B06B6F" w:rsidP="00725F19">
            <w:pPr>
              <w:pStyle w:val="m0"/>
              <w:ind w:left="184"/>
              <w:rPr>
                <w:sz w:val="24"/>
                <w:lang w:val="en-US"/>
              </w:rPr>
            </w:pPr>
            <w:r w:rsidRPr="00FC7951">
              <w:rPr>
                <w:sz w:val="24"/>
              </w:rPr>
              <w:t>нет</w:t>
            </w:r>
          </w:p>
        </w:tc>
      </w:tr>
    </w:tbl>
    <w:p w14:paraId="161F55F6" w14:textId="77777777" w:rsidR="00B06B6F" w:rsidRPr="00FC7951" w:rsidRDefault="00B06B6F" w:rsidP="00725F19">
      <w:pPr>
        <w:rPr>
          <w:rFonts w:ascii="Times New Roman" w:hAnsi="Times New Roman" w:cs="Times New Roman"/>
        </w:rPr>
      </w:pPr>
    </w:p>
    <w:p w14:paraId="4B317D88" w14:textId="77777777" w:rsidR="00B06B6F" w:rsidRPr="00FC7951" w:rsidRDefault="00B06B6F" w:rsidP="00725F19">
      <w:pPr>
        <w:pStyle w:val="1"/>
        <w:tabs>
          <w:tab w:val="clear" w:pos="1353"/>
          <w:tab w:val="left" w:pos="1134"/>
          <w:tab w:val="num" w:pos="1418"/>
        </w:tabs>
        <w:ind w:left="0" w:firstLine="709"/>
      </w:pPr>
      <w:bookmarkStart w:id="2" w:name="_Toc107244328"/>
      <w:bookmarkStart w:id="3" w:name="_Toc107247760"/>
      <w:r w:rsidRPr="00FC7951">
        <w:t>ОТВЕТСТВЕННОСТЬ И ОБЛАСТЬ ПРИМЕНЕНИЯ</w:t>
      </w:r>
      <w:bookmarkEnd w:id="2"/>
      <w:bookmarkEnd w:id="3"/>
    </w:p>
    <w:p w14:paraId="44A9A8F7" w14:textId="77777777" w:rsidR="00B06B6F" w:rsidRPr="00FC7951" w:rsidRDefault="00B06B6F" w:rsidP="00725F19">
      <w:pPr>
        <w:pStyle w:val="m"/>
      </w:pPr>
      <w:r w:rsidRPr="00FC7951">
        <w:t>Настоящий документ регламентирует деятельность следующих подразделений и должностных лиц, включая исполняющих роли:</w:t>
      </w:r>
    </w:p>
    <w:tbl>
      <w:tblPr>
        <w:tblW w:w="9498"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9498"/>
      </w:tblGrid>
      <w:tr w:rsidR="00B06B6F" w:rsidRPr="00FC7951" w14:paraId="669E1473" w14:textId="77777777" w:rsidTr="00DE4B3B">
        <w:trPr>
          <w:trHeight w:val="284"/>
          <w:tblHeader/>
        </w:trPr>
        <w:tc>
          <w:tcPr>
            <w:tcW w:w="9498" w:type="dxa"/>
            <w:shd w:val="clear" w:color="auto" w:fill="D9D9D9"/>
            <w:vAlign w:val="center"/>
          </w:tcPr>
          <w:p w14:paraId="3BC3EE69" w14:textId="77777777" w:rsidR="00B06B6F" w:rsidRPr="00FC7951" w:rsidRDefault="00B06B6F" w:rsidP="00725F19">
            <w:pPr>
              <w:pStyle w:val="m4"/>
              <w:keepNext w:val="0"/>
              <w:jc w:val="both"/>
              <w:rPr>
                <w:highlight w:val="yellow"/>
              </w:rPr>
            </w:pPr>
            <w:r w:rsidRPr="00FC7951">
              <w:t>Наименование подразделения/должности/роли</w:t>
            </w:r>
          </w:p>
        </w:tc>
      </w:tr>
      <w:tr w:rsidR="00B06B6F" w:rsidRPr="00FC7951" w14:paraId="20DDBF61" w14:textId="77777777" w:rsidTr="00DE4B3B">
        <w:trPr>
          <w:trHeight w:val="284"/>
        </w:trPr>
        <w:tc>
          <w:tcPr>
            <w:tcW w:w="9498" w:type="dxa"/>
            <w:shd w:val="clear" w:color="auto" w:fill="auto"/>
            <w:vAlign w:val="center"/>
          </w:tcPr>
          <w:p w14:paraId="5983659B" w14:textId="77777777" w:rsidR="00B06B6F" w:rsidRPr="00FC7951" w:rsidRDefault="00B06B6F" w:rsidP="00725F19">
            <w:pPr>
              <w:pStyle w:val="m0"/>
              <w:jc w:val="both"/>
              <w:rPr>
                <w:b/>
                <w:bCs/>
              </w:rPr>
            </w:pPr>
            <w:r w:rsidRPr="00FC7951">
              <w:rPr>
                <w:bCs/>
              </w:rPr>
              <w:t>Все</w:t>
            </w:r>
            <w:r w:rsidRPr="00FC7951">
              <w:rPr>
                <w:bCs/>
                <w:lang w:val="en-US"/>
              </w:rPr>
              <w:t xml:space="preserve"> </w:t>
            </w:r>
            <w:r w:rsidRPr="00FC7951">
              <w:rPr>
                <w:bCs/>
              </w:rPr>
              <w:t>подразделения Общества</w:t>
            </w:r>
          </w:p>
        </w:tc>
      </w:tr>
    </w:tbl>
    <w:p w14:paraId="04E5A5BC" w14:textId="77777777" w:rsidR="00B06B6F" w:rsidRPr="00FC7951" w:rsidRDefault="00B06B6F" w:rsidP="00725F19">
      <w:pPr>
        <w:rPr>
          <w:rFonts w:ascii="Times New Roman" w:hAnsi="Times New Roman" w:cs="Times New Roman"/>
        </w:rPr>
      </w:pPr>
    </w:p>
    <w:p w14:paraId="7913C54E" w14:textId="77777777" w:rsidR="00B06B6F" w:rsidRPr="00FC7951" w:rsidRDefault="00B06B6F" w:rsidP="00725F19">
      <w:pPr>
        <w:pStyle w:val="1"/>
        <w:tabs>
          <w:tab w:val="clear" w:pos="1353"/>
          <w:tab w:val="left" w:pos="1134"/>
          <w:tab w:val="num" w:pos="1418"/>
        </w:tabs>
        <w:ind w:left="0" w:firstLine="709"/>
      </w:pPr>
      <w:bookmarkStart w:id="4" w:name="_Toc107244329"/>
      <w:bookmarkStart w:id="5" w:name="_Toc107247761"/>
      <w:r w:rsidRPr="00FC7951">
        <w:t>ОПРЕДЕЛЕНИЯ РОЛЕЙ И ТЕРМИНОВ</w:t>
      </w:r>
      <w:bookmarkEnd w:id="4"/>
      <w:bookmarkEnd w:id="5"/>
    </w:p>
    <w:p w14:paraId="06854164" w14:textId="77777777" w:rsidR="00B06B6F" w:rsidRPr="00FC7951" w:rsidRDefault="00B06B6F" w:rsidP="00725F19">
      <w:pPr>
        <w:rPr>
          <w:rFonts w:ascii="Times New Roman" w:hAnsi="Times New Roman" w:cs="Times New Roman"/>
        </w:rPr>
      </w:pPr>
      <w:r w:rsidRPr="00FC7951">
        <w:rPr>
          <w:rFonts w:ascii="Times New Roman" w:hAnsi="Times New Roman" w:cs="Times New Roman"/>
          <w:sz w:val="20"/>
          <w:szCs w:val="20"/>
        </w:rPr>
        <w:t>Остальные определения терминов, сокращений приведены в «Глоссарии» Корпоративного портала.</w:t>
      </w:r>
    </w:p>
    <w:tbl>
      <w:tblPr>
        <w:tblW w:w="5085"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2375"/>
        <w:gridCol w:w="7123"/>
      </w:tblGrid>
      <w:tr w:rsidR="00B06B6F" w:rsidRPr="00FC7951" w14:paraId="76671CC7" w14:textId="77777777" w:rsidTr="00725F19">
        <w:tc>
          <w:tcPr>
            <w:tcW w:w="2375"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412A5D23" w14:textId="77777777" w:rsidR="00B06B6F" w:rsidRPr="00FC7951" w:rsidRDefault="00B06B6F" w:rsidP="00725F19">
            <w:pPr>
              <w:pStyle w:val="TableHeader"/>
              <w:spacing w:before="120" w:after="120" w:line="240" w:lineRule="auto"/>
              <w:rPr>
                <w:rFonts w:ascii="Times New Roman" w:hAnsi="Times New Roman" w:cs="Times New Roman"/>
                <w:szCs w:val="24"/>
              </w:rPr>
            </w:pPr>
            <w:r w:rsidRPr="00FC7951">
              <w:rPr>
                <w:rFonts w:ascii="Times New Roman" w:hAnsi="Times New Roman" w:cs="Times New Roman"/>
                <w:szCs w:val="24"/>
              </w:rPr>
              <w:t>Термины/сокращения</w:t>
            </w:r>
          </w:p>
        </w:tc>
        <w:tc>
          <w:tcPr>
            <w:tcW w:w="712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1143F051" w14:textId="77777777" w:rsidR="00B06B6F" w:rsidRPr="00FC7951" w:rsidRDefault="00B06B6F" w:rsidP="00725F19">
            <w:pPr>
              <w:pStyle w:val="TableHeader"/>
              <w:spacing w:before="120" w:after="120" w:line="240" w:lineRule="auto"/>
              <w:rPr>
                <w:rFonts w:ascii="Times New Roman" w:hAnsi="Times New Roman" w:cs="Times New Roman"/>
                <w:szCs w:val="24"/>
              </w:rPr>
            </w:pPr>
            <w:r w:rsidRPr="00FC7951">
              <w:rPr>
                <w:rFonts w:ascii="Times New Roman" w:hAnsi="Times New Roman" w:cs="Times New Roman"/>
                <w:szCs w:val="24"/>
              </w:rPr>
              <w:t>Определения</w:t>
            </w:r>
          </w:p>
        </w:tc>
      </w:tr>
      <w:tr w:rsidR="00B06B6F" w:rsidRPr="00FC7951" w14:paraId="4E7B4B78" w14:textId="77777777" w:rsidTr="00725F19">
        <w:tc>
          <w:tcPr>
            <w:tcW w:w="9498"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6CC7F7D3" w14:textId="77777777" w:rsidR="00B06B6F" w:rsidRPr="00FC7951" w:rsidRDefault="00B06B6F" w:rsidP="00725F19">
            <w:pPr>
              <w:pStyle w:val="TableSubheader"/>
              <w:jc w:val="left"/>
              <w:rPr>
                <w:rFonts w:ascii="Times New Roman" w:hAnsi="Times New Roman" w:cs="Times New Roman"/>
                <w:szCs w:val="24"/>
              </w:rPr>
            </w:pPr>
            <w:r w:rsidRPr="00FC7951">
              <w:rPr>
                <w:rFonts w:ascii="Times New Roman" w:hAnsi="Times New Roman" w:cs="Times New Roman"/>
                <w:bCs/>
                <w:szCs w:val="24"/>
              </w:rPr>
              <w:t>Вводимые определения:</w:t>
            </w:r>
          </w:p>
        </w:tc>
      </w:tr>
      <w:tr w:rsidR="00B06B6F" w:rsidRPr="00FC7951" w14:paraId="229D3DB0" w14:textId="77777777" w:rsidTr="00725F19">
        <w:tc>
          <w:tcPr>
            <w:tcW w:w="9498"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6B0B1122" w14:textId="77777777" w:rsidR="00B06B6F" w:rsidRPr="00FC7951" w:rsidRDefault="00B06B6F" w:rsidP="00725F19">
            <w:pPr>
              <w:pStyle w:val="TableSubheader"/>
              <w:jc w:val="left"/>
              <w:rPr>
                <w:rFonts w:ascii="Times New Roman" w:hAnsi="Times New Roman" w:cs="Times New Roman"/>
                <w:szCs w:val="24"/>
              </w:rPr>
            </w:pPr>
            <w:r w:rsidRPr="00FC7951">
              <w:rPr>
                <w:rFonts w:ascii="Times New Roman" w:hAnsi="Times New Roman" w:cs="Times New Roman"/>
                <w:bCs/>
                <w:color w:val="auto"/>
                <w:szCs w:val="24"/>
              </w:rPr>
              <w:t>Действующие определения:</w:t>
            </w:r>
          </w:p>
        </w:tc>
      </w:tr>
      <w:tr w:rsidR="00B06B6F" w:rsidRPr="00FC7951" w14:paraId="5FE075DD"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055457FE" w14:textId="77777777" w:rsidR="00B06B6F" w:rsidRPr="00FC7951" w:rsidRDefault="00B06B6F" w:rsidP="00725F19">
            <w:pPr>
              <w:pStyle w:val="TableText"/>
              <w:tabs>
                <w:tab w:val="left" w:pos="2010"/>
              </w:tabs>
              <w:rPr>
                <w:rFonts w:ascii="Times New Roman" w:hAnsi="Times New Roman" w:cs="Times New Roman"/>
                <w:szCs w:val="24"/>
                <w:highlight w:val="yellow"/>
              </w:rPr>
            </w:pPr>
            <w:r w:rsidRPr="00FC7951">
              <w:rPr>
                <w:rFonts w:ascii="Times New Roman" w:hAnsi="Times New Roman" w:cs="Times New Roman"/>
                <w:szCs w:val="24"/>
              </w:rPr>
              <w:t>Группа «Интер РАО» (Группа)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FC05097" w14:textId="77777777" w:rsidR="00B06B6F" w:rsidRPr="00FC7951" w:rsidRDefault="00B06B6F" w:rsidP="00725F19">
            <w:pPr>
              <w:pStyle w:val="TableText"/>
              <w:tabs>
                <w:tab w:val="left" w:pos="2604"/>
              </w:tabs>
              <w:jc w:val="both"/>
              <w:rPr>
                <w:rFonts w:ascii="Times New Roman" w:hAnsi="Times New Roman" w:cs="Times New Roman"/>
                <w:szCs w:val="24"/>
              </w:rPr>
            </w:pPr>
            <w:r w:rsidRPr="00FC7951">
              <w:rPr>
                <w:rFonts w:ascii="Times New Roman" w:hAnsi="Times New Roman" w:cs="Times New Roman"/>
                <w:szCs w:val="24"/>
              </w:rPr>
              <w:t>ПАО «Интер РАО» и его ДО</w:t>
            </w:r>
          </w:p>
        </w:tc>
      </w:tr>
      <w:tr w:rsidR="00B06B6F" w:rsidRPr="00FC7951" w14:paraId="35C1E8B5"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4116844A"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Финансово-экономическая экспертиза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7DDDF08"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Оценка устойчивости участников закупочных процедур с позиции финансово-экономических критериев, проводимая для определения соответствия и </w:t>
            </w:r>
            <w:r w:rsidRPr="00FC7951">
              <w:rPr>
                <w:rFonts w:ascii="Times New Roman" w:hAnsi="Times New Roman" w:cs="Times New Roman"/>
                <w:color w:val="auto"/>
                <w:szCs w:val="24"/>
              </w:rPr>
              <w:t>ранжирования</w:t>
            </w:r>
            <w:r w:rsidRPr="00FC7951">
              <w:rPr>
                <w:rStyle w:val="af7"/>
                <w:rFonts w:ascii="Times New Roman" w:hAnsi="Times New Roman" w:cs="Times New Roman"/>
                <w:color w:val="auto"/>
                <w:szCs w:val="24"/>
              </w:rPr>
              <w:footnoteReference w:id="1"/>
            </w:r>
            <w:r w:rsidRPr="00FC7951">
              <w:rPr>
                <w:rFonts w:ascii="Times New Roman" w:hAnsi="Times New Roman" w:cs="Times New Roman"/>
                <w:szCs w:val="24"/>
              </w:rPr>
              <w:t xml:space="preserve"> предложений участников закупочных процедур в рамках деятельности экспертной группы и/или закупочной комиссии/ЦЗК/ЕИО Общества</w:t>
            </w:r>
          </w:p>
        </w:tc>
      </w:tr>
      <w:tr w:rsidR="00B06B6F" w:rsidRPr="00FC7951" w14:paraId="376288B1"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6B09476F"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Дочернее общество/ДО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E066BCD"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tc>
      </w:tr>
      <w:tr w:rsidR="00B06B6F" w:rsidRPr="00FC7951" w14:paraId="7D91B16C"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A22B362"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Закупка (процедура закупки, закупочная процедура)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048A294"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w:t>
            </w:r>
            <w:r w:rsidRPr="00FC7951">
              <w:rPr>
                <w:rFonts w:ascii="Times New Roman" w:hAnsi="Times New Roman" w:cs="Times New Roman"/>
                <w:szCs w:val="24"/>
              </w:rPr>
              <w:lastRenderedPageBreak/>
              <w:t>заключения с ними договоров на поставки товаров, выполнение работ, оказания услуг</w:t>
            </w:r>
          </w:p>
        </w:tc>
      </w:tr>
      <w:tr w:rsidR="00B06B6F" w:rsidRPr="00FC7951" w14:paraId="3286104A" w14:textId="77777777" w:rsidTr="00725F19">
        <w:tc>
          <w:tcPr>
            <w:tcW w:w="2375"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14:paraId="59507C23"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lastRenderedPageBreak/>
              <w:t>Кредитный риск</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7FB73556"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B06B6F" w:rsidRPr="00FC7951" w14:paraId="66978F10"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C2BBE06" w14:textId="77777777" w:rsidR="00B06B6F" w:rsidRPr="00FC7951" w:rsidRDefault="00B06B6F" w:rsidP="00725F19">
            <w:pPr>
              <w:pStyle w:val="TableText"/>
              <w:tabs>
                <w:tab w:val="left" w:pos="2010"/>
              </w:tabs>
              <w:rPr>
                <w:rFonts w:ascii="Times New Roman" w:hAnsi="Times New Roman" w:cs="Times New Roman"/>
                <w:szCs w:val="24"/>
                <w:highlight w:val="yellow"/>
              </w:rPr>
            </w:pPr>
            <w:r w:rsidRPr="00FC7951">
              <w:rPr>
                <w:rFonts w:ascii="Times New Roman" w:hAnsi="Times New Roman" w:cs="Times New Roman"/>
                <w:szCs w:val="24"/>
              </w:rPr>
              <w:t>Общество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525CF8A" w14:textId="77777777" w:rsidR="00B06B6F" w:rsidRPr="00FC7951" w:rsidRDefault="00FC7951" w:rsidP="00725F19">
            <w:pPr>
              <w:pStyle w:val="TableText"/>
              <w:tabs>
                <w:tab w:val="left" w:pos="2604"/>
              </w:tabs>
              <w:ind w:right="115"/>
              <w:jc w:val="both"/>
              <w:rPr>
                <w:rFonts w:ascii="Times New Roman" w:hAnsi="Times New Roman" w:cs="Times New Roman"/>
                <w:szCs w:val="24"/>
              </w:rPr>
            </w:pPr>
            <w:r>
              <w:rPr>
                <w:rFonts w:ascii="Times New Roman" w:hAnsi="Times New Roman" w:cs="Times New Roman"/>
                <w:szCs w:val="24"/>
              </w:rPr>
              <w:t>АО «ЕИРЦ ЛО»</w:t>
            </w:r>
          </w:p>
        </w:tc>
      </w:tr>
      <w:tr w:rsidR="00B06B6F" w:rsidRPr="00FC7951" w14:paraId="1BC1D3A5"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F583FEA"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Промежуточная бухгалтерская отчетность</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798CB73"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color w:val="auto"/>
                <w:lang w:eastAsia="en-US"/>
              </w:rPr>
              <w:t>Бухгалтерская отчетность, сформированная по состоянию на 31.03, 30.06, 30.09 текущего года</w:t>
            </w:r>
          </w:p>
        </w:tc>
      </w:tr>
      <w:tr w:rsidR="00B06B6F" w:rsidRPr="00FC7951" w14:paraId="4A6BC00D"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75E124C0"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lang w:eastAsia="en-US"/>
              </w:rPr>
              <w:t>Последняя отчетная дата незавершенного финансового года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94BC259"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Ближайшая к рассмотрению финансовых показателей дата, по состоянию на которую в рамках незавершенного финансового года может быть сформирована бухгалтерская отчетность</w:t>
            </w:r>
          </w:p>
        </w:tc>
      </w:tr>
      <w:tr w:rsidR="00B06B6F" w:rsidRPr="00FC7951" w14:paraId="7C8969A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22B385E5"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lang w:eastAsia="en-US"/>
              </w:rPr>
              <w:t>МСП</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C246D7E"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Субъекты малого и среднего предпринимательства</w:t>
            </w:r>
          </w:p>
        </w:tc>
      </w:tr>
      <w:tr w:rsidR="00B06B6F" w:rsidRPr="00FC7951" w14:paraId="47247384"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3EA7985E"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Риск-фактор*</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3E8D207F"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Фактор, реализация которого может являться основанием для понижения итоговой оценки финансово-экономической устойчивости</w:t>
            </w:r>
          </w:p>
        </w:tc>
      </w:tr>
      <w:tr w:rsidR="00B06B6F" w:rsidRPr="00FC7951" w14:paraId="1BF49E5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C705E73"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Стоп-фактор*</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DE45743"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Фактор, 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B06B6F" w:rsidRPr="00FC7951" w14:paraId="3C3BFBD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26BA396"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Участник закупки*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466F7082"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ВНД Общества и/или закупочной документации</w:t>
            </w:r>
          </w:p>
        </w:tc>
      </w:tr>
      <w:tr w:rsidR="00B06B6F" w:rsidRPr="00FC7951" w14:paraId="4AA713FE"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64399EC1"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ЕГРН*</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18C33AC"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Единый государственный реестр недвижимости – федеральная информационная система, в которую вносятся сведения о всех объектах недвижимости на территории России и их собственниках</w:t>
            </w:r>
          </w:p>
        </w:tc>
      </w:tr>
      <w:tr w:rsidR="00B06B6F" w:rsidRPr="00FC7951" w14:paraId="0164C143"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06B6CE32" w14:textId="77777777" w:rsidR="00B06B6F" w:rsidRPr="00FC7951" w:rsidRDefault="00B06B6F" w:rsidP="00725F19">
            <w:pPr>
              <w:pStyle w:val="TableText"/>
              <w:tabs>
                <w:tab w:val="left" w:pos="2010"/>
              </w:tabs>
              <w:rPr>
                <w:rFonts w:ascii="Times New Roman" w:hAnsi="Times New Roman" w:cs="Times New Roman"/>
                <w:szCs w:val="24"/>
                <w:lang w:eastAsia="en-US"/>
              </w:rPr>
            </w:pPr>
            <w:r w:rsidRPr="00FC7951">
              <w:rPr>
                <w:rFonts w:ascii="Times New Roman" w:hAnsi="Times New Roman" w:cs="Times New Roman"/>
                <w:szCs w:val="24"/>
                <w:lang w:eastAsia="en-US"/>
              </w:rPr>
              <w:t xml:space="preserve">Выписки из ЕГРН </w:t>
            </w:r>
          </w:p>
          <w:p w14:paraId="2E10FC41"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(об основных характеристиках и зарегистрированных правах на объект недвижимости, об объекте недвижимости)*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CAA03E8"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Документы, содержащие информацию об основных характеристиках недвижимого имущества (адрес, кадастровые данные (в т.ч. кадастровую стоимость), площадь, собственники, наличие обременений, сведения о зарегистрированных правах)</w:t>
            </w:r>
          </w:p>
        </w:tc>
      </w:tr>
      <w:tr w:rsidR="00B06B6F" w:rsidRPr="00FC7951" w14:paraId="5D7CC98E"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156E2FC"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БКИ*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4D4EA780"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Бюро кредитных историй - юридическое лицо, зарегистрированное в соответствии с законодательством Российской Федерации, являющееся коммерческой организацией и оказывающее в соответствии с Федеральным законом от 30.12.2004 № 218-ФЗ «О кредитных историях» услуги по формированию, обработке и </w:t>
            </w:r>
            <w:r w:rsidRPr="00FC7951">
              <w:rPr>
                <w:rFonts w:ascii="Times New Roman" w:hAnsi="Times New Roman" w:cs="Times New Roman"/>
                <w:szCs w:val="24"/>
              </w:rPr>
              <w:lastRenderedPageBreak/>
              <w:t>хранению кредитных историй, а также по предоставлению кредитных отчётов и сопутствующих услуг.</w:t>
            </w:r>
          </w:p>
        </w:tc>
      </w:tr>
      <w:tr w:rsidR="00B06B6F" w:rsidRPr="00FC7951" w14:paraId="552D6379"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74D2BE6"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lastRenderedPageBreak/>
              <w:t>Выписка из БКИ (кредитный отчет)*</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699CBD5"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Отчет, в котором отражено качество обслуживания кредитов заемщиком. Отчет носит конфиденциальный характер, поэтому предоставляется только пользователю. Для того, чтобы кредитор смог получить сведения, клиент должен дать согласие.</w:t>
            </w:r>
          </w:p>
        </w:tc>
      </w:tr>
      <w:tr w:rsidR="00B06B6F" w:rsidRPr="00FC7951" w14:paraId="083FA817"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494E0288"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Законодательство*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0C3F29F" w14:textId="77777777" w:rsidR="00B06B6F" w:rsidRPr="00FC7951" w:rsidRDefault="00B06B6F" w:rsidP="00725F19">
            <w:pPr>
              <w:pStyle w:val="TableText"/>
              <w:tabs>
                <w:tab w:val="left" w:pos="2604"/>
              </w:tabs>
              <w:jc w:val="both"/>
              <w:rPr>
                <w:rFonts w:ascii="Times New Roman" w:hAnsi="Times New Roman" w:cs="Times New Roman"/>
                <w:szCs w:val="24"/>
              </w:rPr>
            </w:pPr>
            <w:r w:rsidRPr="00FC7951">
              <w:rPr>
                <w:rFonts w:ascii="Times New Roman" w:hAnsi="Times New Roman" w:cs="Times New Roman"/>
                <w:szCs w:val="24"/>
              </w:rPr>
              <w:t>Законодательство Российской Федерации</w:t>
            </w:r>
          </w:p>
        </w:tc>
      </w:tr>
    </w:tbl>
    <w:p w14:paraId="0D20242B" w14:textId="77777777" w:rsidR="00B06B6F" w:rsidRPr="00FC7951" w:rsidRDefault="00B06B6F" w:rsidP="00725F19">
      <w:pPr>
        <w:spacing w:after="120"/>
        <w:rPr>
          <w:rFonts w:ascii="Times New Roman" w:eastAsia="Arial" w:hAnsi="Times New Roman" w:cs="Times New Roman"/>
          <w:color w:val="000000"/>
        </w:rPr>
      </w:pPr>
      <w:r w:rsidRPr="00FC7951">
        <w:rPr>
          <w:rFonts w:ascii="Times New Roman" w:eastAsia="Arial" w:hAnsi="Times New Roman" w:cs="Times New Roman"/>
          <w:color w:val="000000"/>
        </w:rPr>
        <w:t>*используется только для данного ВНД и не является частью Корпоративного глоссария</w:t>
      </w:r>
    </w:p>
    <w:p w14:paraId="251846BC" w14:textId="77777777" w:rsidR="00B06B6F" w:rsidRPr="00FC7951" w:rsidRDefault="00B06B6F" w:rsidP="00725F19">
      <w:pPr>
        <w:pStyle w:val="ac"/>
        <w:tabs>
          <w:tab w:val="left" w:pos="1134"/>
        </w:tabs>
        <w:ind w:left="0" w:firstLine="709"/>
        <w:jc w:val="both"/>
      </w:pPr>
    </w:p>
    <w:p w14:paraId="2F5E6E38" w14:textId="77777777" w:rsidR="00B06B6F" w:rsidRPr="00FC7951" w:rsidRDefault="00B06B6F" w:rsidP="00725F19">
      <w:pPr>
        <w:pStyle w:val="1"/>
        <w:tabs>
          <w:tab w:val="clear" w:pos="1353"/>
          <w:tab w:val="left" w:pos="1134"/>
          <w:tab w:val="num" w:pos="1418"/>
        </w:tabs>
        <w:ind w:left="0" w:firstLine="709"/>
      </w:pPr>
      <w:bookmarkStart w:id="6" w:name="_Toc107244330"/>
      <w:bookmarkStart w:id="7" w:name="_Toc107247762"/>
      <w:r w:rsidRPr="00FC7951">
        <w:t>НАЗНАЧЕНИЕ</w:t>
      </w:r>
      <w:bookmarkEnd w:id="6"/>
      <w:bookmarkEnd w:id="7"/>
    </w:p>
    <w:p w14:paraId="54B71E9A" w14:textId="77777777" w:rsidR="00B06B6F" w:rsidRPr="00725F19" w:rsidRDefault="00B06B6F" w:rsidP="00725F19">
      <w:pPr>
        <w:pStyle w:val="ac"/>
        <w:numPr>
          <w:ilvl w:val="1"/>
          <w:numId w:val="1"/>
        </w:numPr>
        <w:tabs>
          <w:tab w:val="left" w:pos="1134"/>
        </w:tabs>
        <w:ind w:left="1801" w:hanging="1092"/>
        <w:jc w:val="both"/>
      </w:pPr>
      <w:r w:rsidRPr="00725F19">
        <w:t>Назначение</w:t>
      </w:r>
    </w:p>
    <w:p w14:paraId="101DE5FF" w14:textId="77777777" w:rsidR="00B06B6F" w:rsidRPr="00725F19"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экспертиза) проводится Обществом в рамках закупочной деятельности и заключения договоров во избежание потерь и с целью ограничения подверженности Общества кредитному риску, в том числе для выявления и отклонения таких участников закупочных процедур, которые заведомо неспособны исполнить свои обязательства.</w:t>
      </w:r>
    </w:p>
    <w:p w14:paraId="660D1843" w14:textId="77777777" w:rsidR="00B06B6F" w:rsidRPr="00725F19"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полученных экспертными группами и/или закупочными комиссиями / ЦЗК / ЕИО Общества, повышение обоснованности принимаемых управленческих решений по ранжированию (здесь и далее - ранжирование предложений применяется при проведении конкурентных процедур и/или при необходимости) предложений участников и выбору победителя при проведении закупочной процедуры, в том числе способом «у единственного поставщика»..</w:t>
      </w:r>
    </w:p>
    <w:p w14:paraId="1F68BE20" w14:textId="77777777" w:rsidR="00B06B6F" w:rsidRPr="00725F19" w:rsidRDefault="00B06B6F" w:rsidP="00725F19">
      <w:pPr>
        <w:pStyle w:val="ac"/>
        <w:numPr>
          <w:ilvl w:val="1"/>
          <w:numId w:val="1"/>
        </w:numPr>
        <w:tabs>
          <w:tab w:val="left" w:pos="1134"/>
        </w:tabs>
        <w:spacing w:before="120" w:after="120"/>
        <w:ind w:left="0" w:firstLine="709"/>
      </w:pPr>
      <w:r w:rsidRPr="00725F19">
        <w:t>Методика устанавливает набор и значимость отборочных и оценочных критериев при проведении финансово-экономической экспертизы.</w:t>
      </w:r>
    </w:p>
    <w:p w14:paraId="105287CD" w14:textId="77777777" w:rsidR="00B06B6F" w:rsidRPr="00725F19" w:rsidRDefault="00B06B6F" w:rsidP="00725F19">
      <w:pPr>
        <w:pStyle w:val="ac"/>
        <w:numPr>
          <w:ilvl w:val="1"/>
          <w:numId w:val="1"/>
        </w:numPr>
        <w:tabs>
          <w:tab w:val="left" w:pos="1134"/>
        </w:tabs>
        <w:ind w:left="0" w:firstLine="709"/>
        <w:jc w:val="both"/>
      </w:pPr>
      <w:r w:rsidRPr="00725F19">
        <w:t>Область применения</w:t>
      </w:r>
    </w:p>
    <w:p w14:paraId="49308376" w14:textId="77777777" w:rsidR="00B06B6F" w:rsidRPr="00725F19" w:rsidRDefault="00B06B6F" w:rsidP="00725F19">
      <w:pPr>
        <w:numPr>
          <w:ilvl w:val="0"/>
          <w:numId w:val="2"/>
        </w:numPr>
        <w:tabs>
          <w:tab w:val="left" w:pos="1134"/>
        </w:tabs>
        <w:spacing w:before="120"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Методика применяется экспертом, привлеченным для оценки финансово-экономической устойчивости участников закупочной процедуры в рамках деятельности экспертной группы и/или закупочной комиссии / ЦЗК / ЕИО Общества по оценке и ранжированию предложений участников закупочной процедуры (далее - Эксперт). 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Приложении №1 к Методике.</w:t>
      </w:r>
    </w:p>
    <w:p w14:paraId="6530245A" w14:textId="77777777" w:rsidR="00B06B6F" w:rsidRPr="00725F19" w:rsidRDefault="00B06B6F" w:rsidP="00725F19">
      <w:pPr>
        <w:numPr>
          <w:ilvl w:val="0"/>
          <w:numId w:val="2"/>
        </w:numPr>
        <w:tabs>
          <w:tab w:val="left" w:pos="1134"/>
        </w:tabs>
        <w:spacing w:before="120"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Действие Методики распространяется на:</w:t>
      </w:r>
    </w:p>
    <w:p w14:paraId="02EF6C69"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экспертов, привлеченных для проведения экспертизы финансово-экономической устойчивости участников закупочных процедур,</w:t>
      </w:r>
    </w:p>
    <w:p w14:paraId="361EB836"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на работников, использующих результаты указанной экспертизы при ранжировании предложений участников закупочной процедуры (членов закупочной комиссии / ЦЗК / ЕИО Общества),</w:t>
      </w:r>
    </w:p>
    <w:p w14:paraId="538DAEB5"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p w14:paraId="7D744458" w14:textId="77777777" w:rsidR="00B06B6F"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При заключении Обществом договоров без организации конкурентных закупочных процедур (в частности, закупки способом «упрощенная процедура закупки» и </w:t>
      </w:r>
      <w:r w:rsidRPr="00725F19">
        <w:rPr>
          <w:rFonts w:ascii="Times New Roman" w:hAnsi="Times New Roman" w:cs="Times New Roman"/>
          <w:sz w:val="24"/>
          <w:szCs w:val="24"/>
        </w:rPr>
        <w:lastRenderedPageBreak/>
        <w:t>«у единственного поставщика») 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Группы.</w:t>
      </w:r>
    </w:p>
    <w:p w14:paraId="706EE811" w14:textId="77777777" w:rsidR="00725F19" w:rsidRPr="00725F19" w:rsidRDefault="00725F19" w:rsidP="00725F19">
      <w:pPr>
        <w:tabs>
          <w:tab w:val="left" w:pos="1134"/>
        </w:tabs>
        <w:spacing w:after="0" w:line="240" w:lineRule="auto"/>
        <w:ind w:left="709"/>
        <w:jc w:val="both"/>
        <w:rPr>
          <w:rFonts w:ascii="Times New Roman" w:hAnsi="Times New Roman" w:cs="Times New Roman"/>
          <w:sz w:val="24"/>
          <w:szCs w:val="24"/>
        </w:rPr>
      </w:pPr>
    </w:p>
    <w:p w14:paraId="69C9B701" w14:textId="77777777" w:rsidR="00B06B6F" w:rsidRPr="00FC7951" w:rsidRDefault="00B06B6F" w:rsidP="00725F19">
      <w:pPr>
        <w:pStyle w:val="1"/>
        <w:tabs>
          <w:tab w:val="clear" w:pos="1353"/>
          <w:tab w:val="left" w:pos="1134"/>
          <w:tab w:val="num" w:pos="1418"/>
        </w:tabs>
        <w:ind w:left="0" w:firstLine="709"/>
      </w:pPr>
      <w:bookmarkStart w:id="8" w:name="_Toc107244331"/>
      <w:bookmarkStart w:id="9" w:name="_Toc107247763"/>
      <w:r w:rsidRPr="00FC7951">
        <w:t>ОБЩИЕ ПОЛОЖЕНИЯ</w:t>
      </w:r>
      <w:bookmarkEnd w:id="8"/>
      <w:bookmarkEnd w:id="9"/>
    </w:p>
    <w:p w14:paraId="7A7E91AD" w14:textId="77777777" w:rsidR="00B06B6F" w:rsidRPr="00FC7951" w:rsidRDefault="00B06B6F" w:rsidP="00725F19">
      <w:pPr>
        <w:pStyle w:val="ac"/>
        <w:numPr>
          <w:ilvl w:val="1"/>
          <w:numId w:val="1"/>
        </w:numPr>
        <w:tabs>
          <w:tab w:val="left" w:pos="1134"/>
        </w:tabs>
        <w:ind w:left="0" w:firstLine="709"/>
        <w:jc w:val="both"/>
      </w:pPr>
      <w:r w:rsidRPr="00FC7951">
        <w:t>Оценка степени соответствия участника закупочной процедуры требованиям ВНД Общества и/или закупочной документации,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14:paraId="64A7A4C3" w14:textId="77777777" w:rsidR="00B06B6F" w:rsidRPr="00FC7951" w:rsidRDefault="00B06B6F" w:rsidP="00725F19">
      <w:pPr>
        <w:pStyle w:val="1"/>
        <w:numPr>
          <w:ilvl w:val="1"/>
          <w:numId w:val="1"/>
        </w:numPr>
        <w:ind w:left="0" w:firstLine="709"/>
        <w:jc w:val="both"/>
        <w:rPr>
          <w:b w:val="0"/>
        </w:rPr>
      </w:pPr>
      <w:bookmarkStart w:id="10" w:name="_Toc107247764"/>
      <w:r w:rsidRPr="00FC7951">
        <w:rPr>
          <w:b w:val="0"/>
        </w:rPr>
        <w:t>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ранжировании предложений участников закупочной процедуры должен составлять не менее 10%.</w:t>
      </w:r>
      <w:bookmarkEnd w:id="10"/>
    </w:p>
    <w:p w14:paraId="0E68C40E" w14:textId="77777777" w:rsidR="00B06B6F" w:rsidRPr="00FC7951" w:rsidRDefault="00B06B6F" w:rsidP="00725F19">
      <w:pPr>
        <w:pStyle w:val="1"/>
        <w:numPr>
          <w:ilvl w:val="1"/>
          <w:numId w:val="1"/>
        </w:numPr>
        <w:ind w:left="0" w:firstLine="709"/>
        <w:jc w:val="both"/>
        <w:rPr>
          <w:b w:val="0"/>
        </w:rPr>
      </w:pPr>
      <w:bookmarkStart w:id="11" w:name="_Toc107247765"/>
      <w:r w:rsidRPr="00FC7951">
        <w:rPr>
          <w:b w:val="0"/>
        </w:rPr>
        <w:t>Финансово-экономическая экспертиза, согласно настоящей Методике, является обязательной в рамках каждой закупочной процедуры, независимо от того, проводилась ли оценка финансового состояния конкретных участников ранее (в рамках аккредитации или другой закупочной процедуры), за исключением случаев, предусмотренных ВНД Группы, указанных в разделе 12 Методики.</w:t>
      </w:r>
      <w:bookmarkEnd w:id="11"/>
    </w:p>
    <w:p w14:paraId="6436002F" w14:textId="77777777" w:rsidR="00B06B6F" w:rsidRPr="00FC7951" w:rsidRDefault="00B06B6F" w:rsidP="00725F19">
      <w:pPr>
        <w:pStyle w:val="1"/>
        <w:numPr>
          <w:ilvl w:val="1"/>
          <w:numId w:val="1"/>
        </w:numPr>
        <w:ind w:left="0" w:firstLine="709"/>
        <w:jc w:val="both"/>
        <w:rPr>
          <w:b w:val="0"/>
        </w:rPr>
      </w:pPr>
      <w:bookmarkStart w:id="12" w:name="_Toc107247766"/>
      <w:r w:rsidRPr="00FC7951">
        <w:rPr>
          <w:b w:val="0"/>
        </w:rPr>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того,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установленным подразделением Общества, в интересах которого осуществляется закупка, и закрепленным в ВНД Общества и/или закупочной документации. Предложения участников закупочных процедур, которые заведомо неспособны исполнить свои обязательства, должны быть отклонены.</w:t>
      </w:r>
      <w:bookmarkEnd w:id="12"/>
    </w:p>
    <w:p w14:paraId="06B206A3" w14:textId="77777777" w:rsidR="00B06B6F" w:rsidRPr="00FC7951" w:rsidRDefault="00B06B6F" w:rsidP="00725F19">
      <w:pPr>
        <w:pStyle w:val="1"/>
        <w:numPr>
          <w:ilvl w:val="1"/>
          <w:numId w:val="1"/>
        </w:numPr>
        <w:ind w:left="0" w:firstLine="709"/>
        <w:jc w:val="both"/>
        <w:rPr>
          <w:b w:val="0"/>
        </w:rPr>
      </w:pPr>
      <w:bookmarkStart w:id="13" w:name="_Toc107247767"/>
      <w:r w:rsidRPr="00FC7951">
        <w:rPr>
          <w:b w:val="0"/>
        </w:rPr>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w:t>
      </w:r>
      <w:proofErr w:type="spellStart"/>
      <w:r w:rsidRPr="00FC7951">
        <w:rPr>
          <w:b w:val="0"/>
        </w:rPr>
        <w:t>балльно</w:t>
      </w:r>
      <w:proofErr w:type="spellEnd"/>
      <w:r w:rsidRPr="00FC7951">
        <w:rPr>
          <w:b w:val="0"/>
        </w:rPr>
        <w:t>-весовой метод.</w:t>
      </w:r>
      <w:bookmarkEnd w:id="13"/>
    </w:p>
    <w:p w14:paraId="76B53C7B" w14:textId="77777777" w:rsidR="00B06B6F" w:rsidRPr="00FC7951" w:rsidRDefault="00B06B6F" w:rsidP="00725F19">
      <w:pPr>
        <w:pStyle w:val="1"/>
        <w:numPr>
          <w:ilvl w:val="1"/>
          <w:numId w:val="1"/>
        </w:numPr>
        <w:ind w:left="0" w:firstLine="709"/>
        <w:jc w:val="both"/>
        <w:rPr>
          <w:b w:val="0"/>
        </w:rPr>
      </w:pPr>
      <w:bookmarkStart w:id="14" w:name="_Toc107247768"/>
      <w:r w:rsidRPr="00FC7951">
        <w:rPr>
          <w:b w:val="0"/>
        </w:rPr>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ВНД Общества и/или закупочной документации, в том числе настоящей Методики.</w:t>
      </w:r>
      <w:bookmarkEnd w:id="14"/>
    </w:p>
    <w:p w14:paraId="21DE2D67" w14:textId="77777777" w:rsidR="00B06B6F" w:rsidRPr="00FC7951" w:rsidRDefault="00B06B6F" w:rsidP="00725F19">
      <w:pPr>
        <w:pStyle w:val="1"/>
        <w:numPr>
          <w:ilvl w:val="1"/>
          <w:numId w:val="48"/>
        </w:numPr>
        <w:ind w:left="0" w:firstLine="709"/>
        <w:jc w:val="both"/>
        <w:rPr>
          <w:b w:val="0"/>
        </w:rPr>
      </w:pPr>
      <w:bookmarkStart w:id="15" w:name="_Toc107247769"/>
      <w:r w:rsidRPr="00FC7951">
        <w:rPr>
          <w:b w:val="0"/>
        </w:rPr>
        <w:lastRenderedPageBreak/>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bookmarkEnd w:id="15"/>
    </w:p>
    <w:p w14:paraId="63807F7D" w14:textId="77777777" w:rsidR="00B06B6F" w:rsidRPr="00FC7951" w:rsidRDefault="00B06B6F" w:rsidP="00725F19">
      <w:pPr>
        <w:pStyle w:val="1"/>
        <w:numPr>
          <w:ilvl w:val="1"/>
          <w:numId w:val="48"/>
        </w:numPr>
        <w:ind w:left="0" w:firstLine="709"/>
        <w:jc w:val="both"/>
        <w:rPr>
          <w:b w:val="0"/>
        </w:rPr>
      </w:pPr>
      <w:bookmarkStart w:id="16" w:name="_Toc107247770"/>
      <w:r w:rsidRPr="00FC7951">
        <w:rPr>
          <w:b w:val="0"/>
        </w:rPr>
        <w:t>В случае если, исходя из особенностей закупочной процедуры и требований ВНД Общества и/или закупочной документации существуют основания для того, чтобы изменить набор или степень значимости финансово-экономических критериев, утвержденных настоящей Методикой, указанные действия могут быть выполнены Экспертом с обоснованием внесенных изменений в экспертном заключении.</w:t>
      </w:r>
      <w:bookmarkEnd w:id="16"/>
    </w:p>
    <w:p w14:paraId="53A7CBA8" w14:textId="77777777" w:rsidR="00B06B6F" w:rsidRPr="00FC7951" w:rsidRDefault="00B06B6F" w:rsidP="00725F19">
      <w:pPr>
        <w:tabs>
          <w:tab w:val="left" w:pos="1134"/>
        </w:tabs>
        <w:jc w:val="both"/>
        <w:rPr>
          <w:rFonts w:ascii="Times New Roman" w:hAnsi="Times New Roman" w:cs="Times New Roman"/>
        </w:rPr>
      </w:pPr>
    </w:p>
    <w:p w14:paraId="673CBF6D" w14:textId="77777777" w:rsidR="00B06B6F" w:rsidRPr="00FC7951" w:rsidRDefault="00B06B6F" w:rsidP="00725F19">
      <w:pPr>
        <w:pStyle w:val="1"/>
        <w:numPr>
          <w:ilvl w:val="0"/>
          <w:numId w:val="48"/>
        </w:numPr>
        <w:tabs>
          <w:tab w:val="left" w:pos="1134"/>
        </w:tabs>
        <w:ind w:hanging="732"/>
      </w:pPr>
      <w:bookmarkStart w:id="17" w:name="_Toc107244332"/>
      <w:bookmarkStart w:id="18" w:name="_Toc107247771"/>
      <w:r w:rsidRPr="00FC7951">
        <w:t>ИНФОРМАЦИЯ, ИСПОЛЬЗУЕМАЯ ДЛЯ ОЦЕНКИ</w:t>
      </w:r>
      <w:bookmarkEnd w:id="17"/>
      <w:bookmarkEnd w:id="18"/>
      <w:r w:rsidRPr="00FC7951">
        <w:t xml:space="preserve"> </w:t>
      </w:r>
    </w:p>
    <w:p w14:paraId="208898CF" w14:textId="77777777" w:rsidR="00B06B6F" w:rsidRPr="00725F19" w:rsidRDefault="00B06B6F" w:rsidP="00725F19">
      <w:pPr>
        <w:tabs>
          <w:tab w:val="left" w:pos="1134"/>
        </w:tabs>
        <w:spacing w:before="120" w:after="120"/>
        <w:ind w:firstLine="709"/>
        <w:jc w:val="both"/>
        <w:rPr>
          <w:rFonts w:ascii="Times New Roman" w:hAnsi="Times New Roman" w:cs="Times New Roman"/>
          <w:bCs/>
          <w:sz w:val="24"/>
          <w:szCs w:val="24"/>
        </w:rPr>
      </w:pPr>
      <w:r w:rsidRPr="00725F19">
        <w:rPr>
          <w:rFonts w:ascii="Times New Roman" w:hAnsi="Times New Roman" w:cs="Times New Roman"/>
          <w:bCs/>
          <w:sz w:val="24"/>
          <w:szCs w:val="24"/>
        </w:rPr>
        <w:t>Приведенный ниже перечень является справочным, не является строго обязательным для каждой закупочной процедуры и применяется в том числе с учетом требований и ограничений, установленных действующим Законодательством (в частности, относительно участников, являющихся субъектами МСП):</w:t>
      </w:r>
    </w:p>
    <w:p w14:paraId="335AF95E" w14:textId="77777777" w:rsidR="00B06B6F" w:rsidRPr="00725F19" w:rsidRDefault="00B06B6F" w:rsidP="00725F19">
      <w:pPr>
        <w:numPr>
          <w:ilvl w:val="0"/>
          <w:numId w:val="7"/>
        </w:numPr>
        <w:tabs>
          <w:tab w:val="clear" w:pos="720"/>
          <w:tab w:val="num"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Формы бухгалтерской отчетности (бухгалтерский баланс и отчет о финансовых результатах) за два последних завершенных финансовых года с отметкой налогового органа, 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 в случае предоставления участником подписанной и заверенной печатью промежуточной бухгалтерской отчетности (по состоянию на 31.03, 30.06, 30.09 текущего года), такая отчетность используется экспертом при оценке финансового состояния участника в качестве бухгалтерской отчетности на последнюю отчетную дату незавершенного финансового года. Налоговая декларация за соответствующие периоды, выписки из ЕГРН (об основных характеристиках и зарегистрированных правах на объект недвижимости, об объекте недвижимости) и выписка из БКИ на дату, предшествующую не более чем на 30 (тридцати) календарных дней до дня размещения извещения о проведении закупки (в отношении всех упомянутых выписок) для индивидуальных предпринимателей</w:t>
      </w:r>
      <w:r w:rsidRPr="00725F19" w:rsidDel="001F25D7">
        <w:rPr>
          <w:rFonts w:ascii="Times New Roman" w:hAnsi="Times New Roman" w:cs="Times New Roman"/>
          <w:sz w:val="24"/>
          <w:szCs w:val="24"/>
        </w:rPr>
        <w:t xml:space="preserve"> </w:t>
      </w:r>
      <w:r w:rsidRPr="00725F19">
        <w:rPr>
          <w:rFonts w:ascii="Times New Roman" w:hAnsi="Times New Roman" w:cs="Times New Roman"/>
          <w:sz w:val="24"/>
          <w:szCs w:val="24"/>
        </w:rPr>
        <w:t>(в случае, если предоставление документов не противоречит действующему Законодательству).</w:t>
      </w:r>
    </w:p>
    <w:p w14:paraId="441D5F85"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Копия выписки из ЕГРЮЛ/ЕГРИП </w:t>
      </w:r>
    </w:p>
    <w:p w14:paraId="35E63906"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Копия устава</w:t>
      </w:r>
    </w:p>
    <w:p w14:paraId="5C266E80"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Анкета участника *</w:t>
      </w:r>
    </w:p>
    <w:p w14:paraId="4969FDBD"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Коммерческое предложение</w:t>
      </w:r>
    </w:p>
    <w:p w14:paraId="02382251"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перечне и объемах выполнения аналогичных договоров*</w:t>
      </w:r>
    </w:p>
    <w:p w14:paraId="3E892B0F"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наличии кадровых ресурсов*</w:t>
      </w:r>
    </w:p>
    <w:p w14:paraId="2F45A9AE"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наличии материально-технических ресурсов*</w:t>
      </w:r>
    </w:p>
    <w:p w14:paraId="1E8B50C7" w14:textId="0DDB09DE"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 в </w:t>
      </w:r>
      <w:r w:rsidRPr="00725F19">
        <w:rPr>
          <w:rFonts w:ascii="Times New Roman" w:hAnsi="Times New Roman" w:cs="Times New Roman"/>
          <w:sz w:val="24"/>
          <w:szCs w:val="24"/>
        </w:rPr>
        <w:lastRenderedPageBreak/>
        <w:t xml:space="preserve">случае, если указанные справки предоставляются в форме электронного документа в формате </w:t>
      </w:r>
      <w:r w:rsidRPr="00725F19">
        <w:rPr>
          <w:rFonts w:ascii="Times New Roman" w:hAnsi="Times New Roman" w:cs="Times New Roman"/>
          <w:sz w:val="24"/>
          <w:szCs w:val="24"/>
          <w:lang w:val="en-US"/>
        </w:rPr>
        <w:t>pdf</w:t>
      </w:r>
      <w:r w:rsidRPr="00725F19">
        <w:rPr>
          <w:rFonts w:ascii="Times New Roman" w:hAnsi="Times New Roman" w:cs="Times New Roman"/>
          <w:sz w:val="24"/>
          <w:szCs w:val="24"/>
        </w:rPr>
        <w:t>, такие документы должны содержать усиленную квалифицированную электронную подпись налогового органа и ее визуализацию (в случае, если предоставление документа не противоречит действующему Законодательству) / декларация об отсутствии задолженности в размере более 25% валюты баланса для закупок, подписанная участником на ЭТП</w:t>
      </w:r>
    </w:p>
    <w:p w14:paraId="61A6B097"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Сводная таблица стоимости*</w:t>
      </w:r>
    </w:p>
    <w:p w14:paraId="52D189F0"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График и условия оплаты*</w:t>
      </w:r>
    </w:p>
    <w:p w14:paraId="4BA5AA68"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Другие документы, подтверждающие наличие у участника закупочной процедуры релевантного опыта (отзывы, рекомендательные письма)</w:t>
      </w:r>
    </w:p>
    <w:p w14:paraId="2D87390A"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Информация из открытых источников, в том числе официальный сайт участника в сети Интернет</w:t>
      </w:r>
    </w:p>
    <w:p w14:paraId="37A405A2"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Информация закрытых источников – данные информационно-аналитических систем «ГИР БО», «СПАРК», «</w:t>
      </w:r>
      <w:proofErr w:type="spellStart"/>
      <w:r w:rsidRPr="00725F19">
        <w:rPr>
          <w:rFonts w:ascii="Times New Roman" w:hAnsi="Times New Roman" w:cs="Times New Roman"/>
          <w:sz w:val="24"/>
          <w:szCs w:val="24"/>
        </w:rPr>
        <w:t>БизнесИнфоРесурс</w:t>
      </w:r>
      <w:proofErr w:type="spellEnd"/>
      <w:r w:rsidRPr="00725F19">
        <w:rPr>
          <w:rFonts w:ascii="Times New Roman" w:hAnsi="Times New Roman" w:cs="Times New Roman"/>
          <w:sz w:val="24"/>
          <w:szCs w:val="24"/>
        </w:rPr>
        <w:t>» и др.**</w:t>
      </w:r>
    </w:p>
    <w:p w14:paraId="2A78D8E4"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Расшифровка дебиторской и кредиторской задолженности***</w:t>
      </w:r>
    </w:p>
    <w:p w14:paraId="79256FC7"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Расшифровка других статей баланса***</w:t>
      </w:r>
    </w:p>
    <w:p w14:paraId="2C3E140A"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*документы, составленные по форме, установленной ВНД Общества и/или закупочной документацией</w:t>
      </w:r>
    </w:p>
    <w:p w14:paraId="64938917"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**при наличии доступа</w:t>
      </w:r>
    </w:p>
    <w:p w14:paraId="0AFF1FCF"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***разъяснения, предоставляются по запросу, в случае необходимости</w:t>
      </w:r>
    </w:p>
    <w:p w14:paraId="7874039D" w14:textId="77777777" w:rsidR="00B06B6F" w:rsidRPr="00FC7951" w:rsidRDefault="00B06B6F" w:rsidP="00725F19">
      <w:pPr>
        <w:tabs>
          <w:tab w:val="left" w:pos="1134"/>
        </w:tabs>
        <w:spacing w:before="120" w:after="120"/>
        <w:ind w:firstLine="709"/>
        <w:jc w:val="both"/>
        <w:rPr>
          <w:rFonts w:ascii="Times New Roman" w:hAnsi="Times New Roman" w:cs="Times New Roman"/>
          <w:i/>
          <w:sz w:val="20"/>
          <w:szCs w:val="20"/>
        </w:rPr>
      </w:pPr>
    </w:p>
    <w:p w14:paraId="15BB9FD0" w14:textId="77777777" w:rsidR="00B06B6F" w:rsidRPr="00FC7951" w:rsidRDefault="00B06B6F" w:rsidP="00725F19">
      <w:pPr>
        <w:pStyle w:val="1"/>
        <w:tabs>
          <w:tab w:val="clear" w:pos="1353"/>
          <w:tab w:val="left" w:pos="1134"/>
          <w:tab w:val="num" w:pos="1418"/>
        </w:tabs>
        <w:ind w:left="0" w:firstLine="709"/>
      </w:pPr>
      <w:bookmarkStart w:id="19" w:name="_Toc107244333"/>
      <w:bookmarkStart w:id="20" w:name="_Toc107247772"/>
      <w:r w:rsidRPr="00FC7951">
        <w:t>ГРУППА ФИНАНСОВЫХ ПОКАЗАТЕЛЕЙ</w:t>
      </w:r>
      <w:bookmarkEnd w:id="19"/>
      <w:bookmarkEnd w:id="20"/>
    </w:p>
    <w:p w14:paraId="59EEB91D" w14:textId="77777777" w:rsidR="00B06B6F" w:rsidRPr="00FC7951" w:rsidRDefault="00B06B6F" w:rsidP="00725F19">
      <w:pPr>
        <w:pStyle w:val="ac"/>
        <w:numPr>
          <w:ilvl w:val="1"/>
          <w:numId w:val="1"/>
        </w:numPr>
        <w:tabs>
          <w:tab w:val="left" w:pos="1134"/>
        </w:tabs>
        <w:ind w:left="0" w:firstLine="709"/>
        <w:jc w:val="both"/>
        <w:rPr>
          <w:b/>
          <w:i/>
          <w:vanish/>
        </w:rPr>
      </w:pPr>
      <w:r w:rsidRPr="00FC7951">
        <w:rPr>
          <w:b/>
        </w:rPr>
        <w:t>Коэффициенты, характеризующие способность участника расплачиваться по финансовым обязательствам, устойчивость и рентабельность</w:t>
      </w:r>
    </w:p>
    <w:p w14:paraId="36408379" w14:textId="77777777" w:rsidR="00B06B6F" w:rsidRPr="00FC7951" w:rsidRDefault="00B06B6F" w:rsidP="00725F19">
      <w:pPr>
        <w:pStyle w:val="ac"/>
        <w:numPr>
          <w:ilvl w:val="2"/>
          <w:numId w:val="1"/>
        </w:numPr>
        <w:tabs>
          <w:tab w:val="left" w:pos="1134"/>
        </w:tabs>
        <w:spacing w:before="120" w:after="120"/>
        <w:ind w:left="1801" w:hanging="1092"/>
        <w:jc w:val="both"/>
        <w:rPr>
          <w:b/>
          <w:i/>
        </w:rPr>
      </w:pPr>
    </w:p>
    <w:p w14:paraId="64008F0C" w14:textId="77777777" w:rsidR="00B06B6F" w:rsidRPr="00FC7951" w:rsidRDefault="00B06B6F" w:rsidP="00725F19">
      <w:pPr>
        <w:pStyle w:val="ac"/>
        <w:numPr>
          <w:ilvl w:val="2"/>
          <w:numId w:val="49"/>
        </w:numPr>
        <w:tabs>
          <w:tab w:val="left" w:pos="1134"/>
        </w:tabs>
        <w:spacing w:before="120" w:after="120"/>
        <w:jc w:val="both"/>
        <w:rPr>
          <w:b/>
          <w:i/>
        </w:rPr>
      </w:pPr>
      <w:r w:rsidRPr="00FC7951">
        <w:rPr>
          <w:b/>
          <w:i/>
        </w:rPr>
        <w:t>Доля привлеченных средств в пассивах</w:t>
      </w:r>
    </w:p>
    <w:p w14:paraId="047CB440"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14:paraId="3F1BBC83"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7040" w:dyaOrig="700" w14:anchorId="74663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36pt" o:ole="">
            <v:imagedata r:id="rId8" o:title=""/>
          </v:shape>
          <o:OLEObject Type="Embed" ProgID="Equation.3" ShapeID="_x0000_i1025" DrawAspect="Content" ObjectID="_1806501665" r:id="rId9"/>
        </w:object>
      </w:r>
    </w:p>
    <w:p w14:paraId="261BCF73" w14:textId="77777777" w:rsidR="00B06B6F" w:rsidRPr="00FC7951" w:rsidRDefault="00B06B6F" w:rsidP="00725F19">
      <w:pPr>
        <w:pStyle w:val="ac"/>
        <w:numPr>
          <w:ilvl w:val="2"/>
          <w:numId w:val="1"/>
        </w:numPr>
        <w:tabs>
          <w:tab w:val="left" w:pos="1134"/>
        </w:tabs>
        <w:spacing w:before="120" w:after="120"/>
        <w:ind w:left="0" w:firstLine="709"/>
        <w:jc w:val="both"/>
        <w:rPr>
          <w:b/>
          <w:i/>
        </w:rPr>
      </w:pPr>
      <w:r w:rsidRPr="00FC7951">
        <w:rPr>
          <w:b/>
          <w:i/>
        </w:rPr>
        <w:t>Рентабельность инвестированного капитала</w:t>
      </w:r>
    </w:p>
    <w:p w14:paraId="13F22ACC"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14:paraId="4C609A8B"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7100" w:dyaOrig="680" w14:anchorId="11754918">
          <v:shape id="_x0000_i1026" type="#_x0000_t75" style="width:386.25pt;height:36pt" o:ole="">
            <v:imagedata r:id="rId10" o:title=""/>
          </v:shape>
          <o:OLEObject Type="Embed" ProgID="Equation.3" ShapeID="_x0000_i1026" DrawAspect="Content" ObjectID="_1806501666" r:id="rId11"/>
        </w:object>
      </w:r>
      <w:r w:rsidRPr="00FC7951">
        <w:rPr>
          <w:rFonts w:ascii="Times New Roman" w:hAnsi="Times New Roman" w:cs="Times New Roman"/>
        </w:rPr>
        <w:t>,</w:t>
      </w:r>
    </w:p>
    <w:p w14:paraId="31159672"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rPr>
        <w:t>где Т – ставка налога на прибыль.</w:t>
      </w:r>
    </w:p>
    <w:p w14:paraId="243965FD"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Долг / EBITDA</w:t>
      </w:r>
    </w:p>
    <w:p w14:paraId="490A54D4"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участник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791B2D">
        <w:rPr>
          <w:rFonts w:ascii="Times New Roman" w:hAnsi="Times New Roman" w:cs="Times New Roman"/>
          <w:sz w:val="24"/>
          <w:szCs w:val="24"/>
          <w:lang w:val="en-US"/>
        </w:rPr>
        <w:t>EBITDA</w:t>
      </w:r>
      <w:r w:rsidRPr="00791B2D">
        <w:rPr>
          <w:rFonts w:ascii="Times New Roman" w:hAnsi="Times New Roman" w:cs="Times New Roman"/>
          <w:sz w:val="24"/>
          <w:szCs w:val="24"/>
        </w:rPr>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14:paraId="2C653284"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24"/>
        </w:rPr>
        <w:object w:dxaOrig="8520" w:dyaOrig="620" w14:anchorId="5B81D670">
          <v:shape id="_x0000_i1027" type="#_x0000_t75" style="width:396pt;height:27.75pt" o:ole="">
            <v:imagedata r:id="rId12" o:title=""/>
          </v:shape>
          <o:OLEObject Type="Embed" ProgID="Equation.3" ShapeID="_x0000_i1027" DrawAspect="Content" ObjectID="_1806501667" r:id="rId13"/>
        </w:object>
      </w:r>
    </w:p>
    <w:p w14:paraId="414FC234" w14:textId="77777777" w:rsidR="00B06B6F" w:rsidRPr="00FC7951" w:rsidRDefault="00B06B6F" w:rsidP="00725F19">
      <w:pPr>
        <w:tabs>
          <w:tab w:val="left" w:pos="1134"/>
        </w:tabs>
        <w:ind w:firstLine="709"/>
        <w:jc w:val="right"/>
        <w:rPr>
          <w:rFonts w:ascii="Times New Roman" w:hAnsi="Times New Roman" w:cs="Times New Roman"/>
          <w:lang w:val="en-US"/>
        </w:rPr>
      </w:pPr>
    </w:p>
    <w:p w14:paraId="2BDA0CF9" w14:textId="77777777" w:rsidR="00B06B6F" w:rsidRPr="00FC7951" w:rsidRDefault="00B06B6F" w:rsidP="00791B2D">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791B2D">
        <w:rPr>
          <w:rFonts w:ascii="Times New Roman" w:hAnsi="Times New Roman" w:cs="Times New Roman"/>
        </w:rPr>
        <w:t>елей в баллы по шкале от 0 до 1</w:t>
      </w:r>
    </w:p>
    <w:tbl>
      <w:tblPr>
        <w:tblW w:w="9639" w:type="dxa"/>
        <w:tblInd w:w="-5" w:type="dxa"/>
        <w:tblLayout w:type="fixed"/>
        <w:tblLook w:val="04A0" w:firstRow="1" w:lastRow="0" w:firstColumn="1" w:lastColumn="0" w:noHBand="0" w:noVBand="1"/>
      </w:tblPr>
      <w:tblGrid>
        <w:gridCol w:w="1701"/>
        <w:gridCol w:w="851"/>
        <w:gridCol w:w="709"/>
        <w:gridCol w:w="850"/>
        <w:gridCol w:w="709"/>
        <w:gridCol w:w="709"/>
        <w:gridCol w:w="708"/>
        <w:gridCol w:w="709"/>
        <w:gridCol w:w="709"/>
        <w:gridCol w:w="567"/>
        <w:gridCol w:w="567"/>
        <w:gridCol w:w="850"/>
      </w:tblGrid>
      <w:tr w:rsidR="00E77932" w:rsidRPr="00FC7951" w14:paraId="79428777" w14:textId="77777777" w:rsidTr="00E77932">
        <w:trPr>
          <w:trHeight w:val="300"/>
        </w:trPr>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307C4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4A1BB49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ECAD3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9BD3FE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7C49CB4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60913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154D50F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522821F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68AB114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05C400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4B43ED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07EF0FD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793ECCC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E77932" w:rsidRPr="00FC7951" w14:paraId="397CE941" w14:textId="77777777" w:rsidTr="00E77932">
        <w:trPr>
          <w:trHeight w:val="600"/>
        </w:trPr>
        <w:tc>
          <w:tcPr>
            <w:tcW w:w="1701" w:type="dxa"/>
            <w:tcBorders>
              <w:top w:val="nil"/>
              <w:left w:val="single" w:sz="4" w:space="0" w:color="auto"/>
              <w:bottom w:val="single" w:sz="4" w:space="0" w:color="auto"/>
              <w:right w:val="single" w:sz="4" w:space="0" w:color="auto"/>
            </w:tcBorders>
            <w:shd w:val="clear" w:color="auto" w:fill="auto"/>
            <w:vAlign w:val="center"/>
          </w:tcPr>
          <w:p w14:paraId="0853E1A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Доля </w:t>
            </w:r>
            <w:proofErr w:type="spellStart"/>
            <w:r w:rsidRPr="00FC7951">
              <w:rPr>
                <w:rFonts w:ascii="Times New Roman" w:hAnsi="Times New Roman" w:cs="Times New Roman"/>
                <w:color w:val="000000"/>
              </w:rPr>
              <w:t>привл-ных</w:t>
            </w:r>
            <w:proofErr w:type="spellEnd"/>
            <w:r w:rsidRPr="00FC7951">
              <w:rPr>
                <w:rFonts w:ascii="Times New Roman" w:hAnsi="Times New Roman" w:cs="Times New Roman"/>
                <w:color w:val="000000"/>
              </w:rPr>
              <w:t xml:space="preserve">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14:paraId="1503D2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100% и более</w:t>
            </w:r>
          </w:p>
        </w:tc>
        <w:tc>
          <w:tcPr>
            <w:tcW w:w="709" w:type="dxa"/>
            <w:tcBorders>
              <w:top w:val="nil"/>
              <w:left w:val="nil"/>
              <w:bottom w:val="single" w:sz="4" w:space="0" w:color="auto"/>
              <w:right w:val="single" w:sz="4" w:space="0" w:color="auto"/>
            </w:tcBorders>
            <w:shd w:val="clear" w:color="000000" w:fill="FFE5E5"/>
            <w:noWrap/>
            <w:vAlign w:val="center"/>
          </w:tcPr>
          <w:p w14:paraId="4E9C352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99,5%</w:t>
            </w:r>
          </w:p>
        </w:tc>
        <w:tc>
          <w:tcPr>
            <w:tcW w:w="850" w:type="dxa"/>
            <w:tcBorders>
              <w:top w:val="nil"/>
              <w:left w:val="nil"/>
              <w:bottom w:val="single" w:sz="4" w:space="0" w:color="auto"/>
              <w:right w:val="single" w:sz="4" w:space="0" w:color="auto"/>
            </w:tcBorders>
            <w:shd w:val="clear" w:color="000000" w:fill="FFE5E5"/>
            <w:noWrap/>
            <w:vAlign w:val="center"/>
          </w:tcPr>
          <w:p w14:paraId="59AFC2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98,5%</w:t>
            </w:r>
          </w:p>
        </w:tc>
        <w:tc>
          <w:tcPr>
            <w:tcW w:w="709" w:type="dxa"/>
            <w:tcBorders>
              <w:top w:val="nil"/>
              <w:left w:val="nil"/>
              <w:bottom w:val="single" w:sz="4" w:space="0" w:color="auto"/>
              <w:right w:val="single" w:sz="4" w:space="0" w:color="auto"/>
            </w:tcBorders>
            <w:shd w:val="clear" w:color="000000" w:fill="FFE5E5"/>
            <w:noWrap/>
            <w:vAlign w:val="center"/>
          </w:tcPr>
          <w:p w14:paraId="46D4F86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98%</w:t>
            </w:r>
          </w:p>
        </w:tc>
        <w:tc>
          <w:tcPr>
            <w:tcW w:w="709" w:type="dxa"/>
            <w:tcBorders>
              <w:top w:val="nil"/>
              <w:left w:val="nil"/>
              <w:bottom w:val="single" w:sz="4" w:space="0" w:color="auto"/>
              <w:right w:val="single" w:sz="4" w:space="0" w:color="auto"/>
            </w:tcBorders>
            <w:shd w:val="clear" w:color="000000" w:fill="F8FFB9"/>
            <w:noWrap/>
            <w:vAlign w:val="center"/>
          </w:tcPr>
          <w:p w14:paraId="734B45A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96%</w:t>
            </w:r>
          </w:p>
        </w:tc>
        <w:tc>
          <w:tcPr>
            <w:tcW w:w="708" w:type="dxa"/>
            <w:tcBorders>
              <w:top w:val="nil"/>
              <w:left w:val="nil"/>
              <w:bottom w:val="single" w:sz="4" w:space="0" w:color="auto"/>
              <w:right w:val="single" w:sz="4" w:space="0" w:color="auto"/>
            </w:tcBorders>
            <w:shd w:val="clear" w:color="000000" w:fill="F8FFB9"/>
            <w:noWrap/>
            <w:vAlign w:val="center"/>
          </w:tcPr>
          <w:p w14:paraId="29BB6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94%</w:t>
            </w:r>
          </w:p>
        </w:tc>
        <w:tc>
          <w:tcPr>
            <w:tcW w:w="709" w:type="dxa"/>
            <w:tcBorders>
              <w:top w:val="nil"/>
              <w:left w:val="nil"/>
              <w:bottom w:val="single" w:sz="4" w:space="0" w:color="auto"/>
              <w:right w:val="single" w:sz="4" w:space="0" w:color="auto"/>
            </w:tcBorders>
            <w:shd w:val="clear" w:color="000000" w:fill="C6FED1"/>
            <w:noWrap/>
            <w:vAlign w:val="center"/>
          </w:tcPr>
          <w:p w14:paraId="15A3669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92%</w:t>
            </w:r>
          </w:p>
        </w:tc>
        <w:tc>
          <w:tcPr>
            <w:tcW w:w="709" w:type="dxa"/>
            <w:tcBorders>
              <w:top w:val="nil"/>
              <w:left w:val="nil"/>
              <w:bottom w:val="single" w:sz="4" w:space="0" w:color="auto"/>
              <w:right w:val="single" w:sz="4" w:space="0" w:color="auto"/>
            </w:tcBorders>
            <w:shd w:val="clear" w:color="000000" w:fill="C6FED1"/>
            <w:noWrap/>
            <w:vAlign w:val="center"/>
          </w:tcPr>
          <w:p w14:paraId="38A35BA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90%</w:t>
            </w:r>
          </w:p>
        </w:tc>
        <w:tc>
          <w:tcPr>
            <w:tcW w:w="567" w:type="dxa"/>
            <w:tcBorders>
              <w:top w:val="nil"/>
              <w:left w:val="nil"/>
              <w:bottom w:val="single" w:sz="4" w:space="0" w:color="auto"/>
              <w:right w:val="single" w:sz="4" w:space="0" w:color="auto"/>
            </w:tcBorders>
            <w:shd w:val="clear" w:color="000000" w:fill="C6FED1"/>
            <w:noWrap/>
            <w:vAlign w:val="center"/>
          </w:tcPr>
          <w:p w14:paraId="6E00540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83%</w:t>
            </w:r>
          </w:p>
        </w:tc>
        <w:tc>
          <w:tcPr>
            <w:tcW w:w="567" w:type="dxa"/>
            <w:tcBorders>
              <w:top w:val="nil"/>
              <w:left w:val="nil"/>
              <w:bottom w:val="single" w:sz="4" w:space="0" w:color="auto"/>
              <w:right w:val="single" w:sz="4" w:space="0" w:color="auto"/>
            </w:tcBorders>
            <w:shd w:val="clear" w:color="000000" w:fill="C6FED1"/>
            <w:noWrap/>
            <w:vAlign w:val="center"/>
          </w:tcPr>
          <w:p w14:paraId="1DA5B25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76%</w:t>
            </w:r>
          </w:p>
        </w:tc>
        <w:tc>
          <w:tcPr>
            <w:tcW w:w="850" w:type="dxa"/>
            <w:tcBorders>
              <w:top w:val="nil"/>
              <w:left w:val="nil"/>
              <w:bottom w:val="single" w:sz="4" w:space="0" w:color="auto"/>
              <w:right w:val="single" w:sz="4" w:space="0" w:color="auto"/>
            </w:tcBorders>
            <w:shd w:val="clear" w:color="000000" w:fill="C6FED1"/>
            <w:noWrap/>
            <w:vAlign w:val="center"/>
          </w:tcPr>
          <w:p w14:paraId="78B7AD3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до 70%</w:t>
            </w:r>
          </w:p>
        </w:tc>
      </w:tr>
      <w:tr w:rsidR="00E77932" w:rsidRPr="00FC7951" w14:paraId="53E0A517" w14:textId="77777777" w:rsidTr="00E77932">
        <w:trPr>
          <w:trHeight w:val="915"/>
        </w:trPr>
        <w:tc>
          <w:tcPr>
            <w:tcW w:w="1701" w:type="dxa"/>
            <w:tcBorders>
              <w:top w:val="nil"/>
              <w:left w:val="single" w:sz="4" w:space="0" w:color="auto"/>
              <w:bottom w:val="single" w:sz="4" w:space="0" w:color="auto"/>
              <w:right w:val="single" w:sz="4" w:space="0" w:color="auto"/>
            </w:tcBorders>
            <w:shd w:val="clear" w:color="auto" w:fill="auto"/>
            <w:vAlign w:val="center"/>
          </w:tcPr>
          <w:p w14:paraId="080D272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14:paraId="7BA4A48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убыток более 10%</w:t>
            </w:r>
          </w:p>
        </w:tc>
        <w:tc>
          <w:tcPr>
            <w:tcW w:w="709" w:type="dxa"/>
            <w:tcBorders>
              <w:top w:val="nil"/>
              <w:left w:val="nil"/>
              <w:bottom w:val="single" w:sz="4" w:space="0" w:color="auto"/>
              <w:right w:val="single" w:sz="4" w:space="0" w:color="auto"/>
            </w:tcBorders>
            <w:shd w:val="clear" w:color="000000" w:fill="FFE5E5"/>
            <w:noWrap/>
            <w:vAlign w:val="center"/>
          </w:tcPr>
          <w:p w14:paraId="76492F0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850" w:type="dxa"/>
            <w:tcBorders>
              <w:top w:val="nil"/>
              <w:left w:val="nil"/>
              <w:bottom w:val="single" w:sz="4" w:space="0" w:color="auto"/>
              <w:right w:val="single" w:sz="4" w:space="0" w:color="auto"/>
            </w:tcBorders>
            <w:shd w:val="clear" w:color="000000" w:fill="FFE5E5"/>
            <w:noWrap/>
            <w:vAlign w:val="center"/>
          </w:tcPr>
          <w:p w14:paraId="709D105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FFE5E5"/>
            <w:noWrap/>
            <w:vAlign w:val="center"/>
          </w:tcPr>
          <w:p w14:paraId="5489488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709" w:type="dxa"/>
            <w:tcBorders>
              <w:top w:val="nil"/>
              <w:left w:val="nil"/>
              <w:bottom w:val="single" w:sz="4" w:space="0" w:color="auto"/>
              <w:right w:val="single" w:sz="4" w:space="0" w:color="auto"/>
            </w:tcBorders>
            <w:shd w:val="clear" w:color="000000" w:fill="F8FFB9"/>
            <w:noWrap/>
            <w:vAlign w:val="center"/>
          </w:tcPr>
          <w:p w14:paraId="31B12CC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w:t>
            </w:r>
          </w:p>
        </w:tc>
        <w:tc>
          <w:tcPr>
            <w:tcW w:w="708" w:type="dxa"/>
            <w:tcBorders>
              <w:top w:val="nil"/>
              <w:left w:val="nil"/>
              <w:bottom w:val="single" w:sz="4" w:space="0" w:color="auto"/>
              <w:right w:val="single" w:sz="4" w:space="0" w:color="auto"/>
            </w:tcBorders>
            <w:shd w:val="clear" w:color="000000" w:fill="F8FFB9"/>
            <w:noWrap/>
            <w:vAlign w:val="center"/>
          </w:tcPr>
          <w:p w14:paraId="75109D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709" w:type="dxa"/>
            <w:tcBorders>
              <w:top w:val="nil"/>
              <w:left w:val="nil"/>
              <w:bottom w:val="single" w:sz="4" w:space="0" w:color="auto"/>
              <w:right w:val="single" w:sz="4" w:space="0" w:color="auto"/>
            </w:tcBorders>
            <w:shd w:val="clear" w:color="000000" w:fill="C6FED1"/>
            <w:noWrap/>
            <w:vAlign w:val="center"/>
          </w:tcPr>
          <w:p w14:paraId="197DAA3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C6FED1"/>
            <w:noWrap/>
            <w:vAlign w:val="center"/>
          </w:tcPr>
          <w:p w14:paraId="04F8255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567" w:type="dxa"/>
            <w:tcBorders>
              <w:top w:val="nil"/>
              <w:left w:val="nil"/>
              <w:bottom w:val="single" w:sz="4" w:space="0" w:color="auto"/>
              <w:right w:val="single" w:sz="4" w:space="0" w:color="auto"/>
            </w:tcBorders>
            <w:shd w:val="clear" w:color="000000" w:fill="C6FED1"/>
            <w:noWrap/>
            <w:vAlign w:val="center"/>
          </w:tcPr>
          <w:p w14:paraId="3EBD9C9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13%</w:t>
            </w:r>
          </w:p>
        </w:tc>
        <w:tc>
          <w:tcPr>
            <w:tcW w:w="567" w:type="dxa"/>
            <w:tcBorders>
              <w:top w:val="nil"/>
              <w:left w:val="nil"/>
              <w:bottom w:val="single" w:sz="4" w:space="0" w:color="auto"/>
              <w:right w:val="single" w:sz="4" w:space="0" w:color="auto"/>
            </w:tcBorders>
            <w:shd w:val="clear" w:color="000000" w:fill="C6FED1"/>
            <w:noWrap/>
            <w:vAlign w:val="center"/>
          </w:tcPr>
          <w:p w14:paraId="0B2D8E8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17%</w:t>
            </w:r>
          </w:p>
        </w:tc>
        <w:tc>
          <w:tcPr>
            <w:tcW w:w="850" w:type="dxa"/>
            <w:tcBorders>
              <w:top w:val="nil"/>
              <w:left w:val="nil"/>
              <w:bottom w:val="single" w:sz="4" w:space="0" w:color="auto"/>
              <w:right w:val="single" w:sz="4" w:space="0" w:color="auto"/>
            </w:tcBorders>
            <w:shd w:val="clear" w:color="000000" w:fill="C6FED1"/>
            <w:vAlign w:val="center"/>
          </w:tcPr>
          <w:p w14:paraId="6DC259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20%</w:t>
            </w:r>
          </w:p>
        </w:tc>
      </w:tr>
      <w:tr w:rsidR="00E77932" w:rsidRPr="00FC7951" w14:paraId="2923A7C9" w14:textId="77777777" w:rsidTr="00E77932">
        <w:trPr>
          <w:trHeight w:val="600"/>
        </w:trPr>
        <w:tc>
          <w:tcPr>
            <w:tcW w:w="1701" w:type="dxa"/>
            <w:tcBorders>
              <w:top w:val="nil"/>
              <w:left w:val="single" w:sz="4" w:space="0" w:color="auto"/>
              <w:bottom w:val="single" w:sz="4" w:space="0" w:color="auto"/>
              <w:right w:val="single" w:sz="4" w:space="0" w:color="auto"/>
            </w:tcBorders>
            <w:shd w:val="clear" w:color="auto" w:fill="auto"/>
            <w:vAlign w:val="center"/>
          </w:tcPr>
          <w:p w14:paraId="6C2A462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Долг / EBITDA, лет</w:t>
            </w:r>
          </w:p>
        </w:tc>
        <w:tc>
          <w:tcPr>
            <w:tcW w:w="851" w:type="dxa"/>
            <w:tcBorders>
              <w:top w:val="nil"/>
              <w:left w:val="nil"/>
              <w:bottom w:val="single" w:sz="4" w:space="0" w:color="auto"/>
              <w:right w:val="single" w:sz="4" w:space="0" w:color="auto"/>
            </w:tcBorders>
            <w:shd w:val="clear" w:color="000000" w:fill="FFE5E5"/>
            <w:vAlign w:val="center"/>
          </w:tcPr>
          <w:p w14:paraId="2CD3695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12 лет</w:t>
            </w:r>
          </w:p>
        </w:tc>
        <w:tc>
          <w:tcPr>
            <w:tcW w:w="709" w:type="dxa"/>
            <w:tcBorders>
              <w:top w:val="nil"/>
              <w:left w:val="nil"/>
              <w:bottom w:val="single" w:sz="4" w:space="0" w:color="auto"/>
              <w:right w:val="single" w:sz="4" w:space="0" w:color="auto"/>
            </w:tcBorders>
            <w:shd w:val="clear" w:color="000000" w:fill="FFE5E5"/>
            <w:noWrap/>
            <w:vAlign w:val="center"/>
          </w:tcPr>
          <w:p w14:paraId="457C262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11</w:t>
            </w:r>
          </w:p>
        </w:tc>
        <w:tc>
          <w:tcPr>
            <w:tcW w:w="850" w:type="dxa"/>
            <w:tcBorders>
              <w:top w:val="nil"/>
              <w:left w:val="nil"/>
              <w:bottom w:val="single" w:sz="4" w:space="0" w:color="auto"/>
              <w:right w:val="single" w:sz="4" w:space="0" w:color="auto"/>
            </w:tcBorders>
            <w:shd w:val="clear" w:color="000000" w:fill="FFE5E5"/>
            <w:noWrap/>
            <w:vAlign w:val="center"/>
          </w:tcPr>
          <w:p w14:paraId="46D0D5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709" w:type="dxa"/>
            <w:tcBorders>
              <w:top w:val="nil"/>
              <w:left w:val="nil"/>
              <w:bottom w:val="single" w:sz="4" w:space="0" w:color="auto"/>
              <w:right w:val="single" w:sz="4" w:space="0" w:color="auto"/>
            </w:tcBorders>
            <w:shd w:val="clear" w:color="000000" w:fill="FFE5E5"/>
            <w:noWrap/>
            <w:vAlign w:val="center"/>
          </w:tcPr>
          <w:p w14:paraId="54A12A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w:t>
            </w:r>
          </w:p>
        </w:tc>
        <w:tc>
          <w:tcPr>
            <w:tcW w:w="709" w:type="dxa"/>
            <w:tcBorders>
              <w:top w:val="nil"/>
              <w:left w:val="nil"/>
              <w:bottom w:val="single" w:sz="4" w:space="0" w:color="auto"/>
              <w:right w:val="single" w:sz="4" w:space="0" w:color="auto"/>
            </w:tcBorders>
            <w:shd w:val="clear" w:color="000000" w:fill="F8FFB9"/>
            <w:noWrap/>
            <w:vAlign w:val="center"/>
          </w:tcPr>
          <w:p w14:paraId="45EB517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w:t>
            </w:r>
          </w:p>
        </w:tc>
        <w:tc>
          <w:tcPr>
            <w:tcW w:w="708" w:type="dxa"/>
            <w:tcBorders>
              <w:top w:val="nil"/>
              <w:left w:val="nil"/>
              <w:bottom w:val="single" w:sz="4" w:space="0" w:color="auto"/>
              <w:right w:val="single" w:sz="4" w:space="0" w:color="auto"/>
            </w:tcBorders>
            <w:shd w:val="clear" w:color="000000" w:fill="F8FFB9"/>
            <w:noWrap/>
            <w:vAlign w:val="center"/>
          </w:tcPr>
          <w:p w14:paraId="6FA1636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C6FED1"/>
            <w:noWrap/>
            <w:vAlign w:val="center"/>
          </w:tcPr>
          <w:p w14:paraId="1D6F351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w:t>
            </w:r>
          </w:p>
        </w:tc>
        <w:tc>
          <w:tcPr>
            <w:tcW w:w="709" w:type="dxa"/>
            <w:tcBorders>
              <w:top w:val="nil"/>
              <w:left w:val="nil"/>
              <w:bottom w:val="single" w:sz="4" w:space="0" w:color="auto"/>
              <w:right w:val="single" w:sz="4" w:space="0" w:color="auto"/>
            </w:tcBorders>
            <w:shd w:val="clear" w:color="000000" w:fill="C6FED1"/>
            <w:noWrap/>
            <w:vAlign w:val="center"/>
          </w:tcPr>
          <w:p w14:paraId="4E54A91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w:t>
            </w:r>
          </w:p>
        </w:tc>
        <w:tc>
          <w:tcPr>
            <w:tcW w:w="567" w:type="dxa"/>
            <w:tcBorders>
              <w:top w:val="nil"/>
              <w:left w:val="nil"/>
              <w:bottom w:val="single" w:sz="4" w:space="0" w:color="auto"/>
              <w:right w:val="single" w:sz="4" w:space="0" w:color="auto"/>
            </w:tcBorders>
            <w:shd w:val="clear" w:color="000000" w:fill="C6FED1"/>
            <w:noWrap/>
            <w:vAlign w:val="center"/>
          </w:tcPr>
          <w:p w14:paraId="20E6D8B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4</w:t>
            </w:r>
          </w:p>
        </w:tc>
        <w:tc>
          <w:tcPr>
            <w:tcW w:w="567" w:type="dxa"/>
            <w:tcBorders>
              <w:top w:val="nil"/>
              <w:left w:val="nil"/>
              <w:bottom w:val="single" w:sz="4" w:space="0" w:color="auto"/>
              <w:right w:val="single" w:sz="4" w:space="0" w:color="auto"/>
            </w:tcBorders>
            <w:shd w:val="clear" w:color="000000" w:fill="C6FED1"/>
            <w:noWrap/>
            <w:vAlign w:val="center"/>
          </w:tcPr>
          <w:p w14:paraId="5315327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850" w:type="dxa"/>
            <w:tcBorders>
              <w:top w:val="nil"/>
              <w:left w:val="nil"/>
              <w:bottom w:val="single" w:sz="4" w:space="0" w:color="auto"/>
              <w:right w:val="single" w:sz="4" w:space="0" w:color="auto"/>
            </w:tcBorders>
            <w:shd w:val="clear" w:color="000000" w:fill="C6FED1"/>
            <w:vAlign w:val="center"/>
          </w:tcPr>
          <w:p w14:paraId="6F3D99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2 лет</w:t>
            </w:r>
          </w:p>
        </w:tc>
      </w:tr>
    </w:tbl>
    <w:p w14:paraId="57E89D90" w14:textId="77777777" w:rsidR="00B06B6F" w:rsidRPr="00FC7951" w:rsidRDefault="00B06B6F" w:rsidP="00725F19">
      <w:pPr>
        <w:spacing w:before="120" w:after="120"/>
        <w:jc w:val="both"/>
        <w:rPr>
          <w:rFonts w:ascii="Times New Roman" w:hAnsi="Times New Roman" w:cs="Times New Roman"/>
          <w:b/>
        </w:rPr>
      </w:pPr>
    </w:p>
    <w:p w14:paraId="11F18B76" w14:textId="77777777" w:rsidR="00B06B6F" w:rsidRPr="00791B2D" w:rsidRDefault="00B06B6F" w:rsidP="00725F19">
      <w:pPr>
        <w:numPr>
          <w:ilvl w:val="1"/>
          <w:numId w:val="1"/>
        </w:numPr>
        <w:tabs>
          <w:tab w:val="left" w:pos="1134"/>
        </w:tabs>
        <w:spacing w:before="120" w:after="120" w:line="240" w:lineRule="auto"/>
        <w:ind w:left="0" w:firstLine="709"/>
        <w:jc w:val="both"/>
        <w:rPr>
          <w:rFonts w:ascii="Times New Roman" w:hAnsi="Times New Roman" w:cs="Times New Roman"/>
          <w:b/>
          <w:sz w:val="24"/>
          <w:szCs w:val="24"/>
        </w:rPr>
      </w:pPr>
      <w:r w:rsidRPr="00791B2D">
        <w:rPr>
          <w:rFonts w:ascii="Times New Roman" w:hAnsi="Times New Roman" w:cs="Times New Roman"/>
          <w:b/>
          <w:sz w:val="24"/>
          <w:szCs w:val="24"/>
        </w:rPr>
        <w:t>Коэффициенты, характеризующие операционную деятельность</w:t>
      </w:r>
    </w:p>
    <w:p w14:paraId="7A7FE1C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Период оборота кредиторской задолженности</w:t>
      </w:r>
    </w:p>
    <w:p w14:paraId="1705FDDE"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14:paraId="5BE8EE4F" w14:textId="77777777" w:rsidR="00B06B6F" w:rsidRPr="00FC7951" w:rsidRDefault="00B06B6F" w:rsidP="00725F19">
      <w:pPr>
        <w:tabs>
          <w:tab w:val="left" w:pos="1134"/>
        </w:tabs>
        <w:spacing w:before="120" w:after="120"/>
        <w:ind w:firstLine="709"/>
        <w:jc w:val="both"/>
        <w:rPr>
          <w:rFonts w:ascii="Times New Roman" w:hAnsi="Times New Roman" w:cs="Times New Roman"/>
          <w:b/>
          <w:i/>
        </w:rPr>
      </w:pPr>
      <m:oMathPara>
        <m:oMathParaPr>
          <m:jc m:val="left"/>
        </m:oMathParaPr>
        <m:oMath>
          <m:r>
            <w:rPr>
              <w:rFonts w:ascii="Cambria Math" w:hAnsi="Cambria Math" w:cs="Times New Roman"/>
              <w:sz w:val="28"/>
              <w:szCs w:val="28"/>
            </w:rPr>
            <m:t>Период_оборота_КЗ=</m:t>
          </m:r>
          <m:f>
            <m:fPr>
              <m:ctrlPr>
                <w:rPr>
                  <w:rFonts w:ascii="Cambria Math" w:hAnsi="Cambria Math" w:cs="Times New Roman"/>
                  <w:i/>
                  <w:sz w:val="28"/>
                  <w:szCs w:val="28"/>
                </w:rPr>
              </m:ctrlPr>
            </m:fPr>
            <m:num>
              <m:r>
                <w:rPr>
                  <w:rFonts w:ascii="Cambria Math" w:hAnsi="Cambria Math" w:cs="Times New Roman"/>
                  <w:sz w:val="28"/>
                  <w:szCs w:val="28"/>
                </w:rPr>
                <m:t>Величина_КЗ*365</m:t>
              </m:r>
            </m:num>
            <m:den>
              <m:r>
                <w:rPr>
                  <w:rFonts w:ascii="Cambria Math" w:hAnsi="Cambria Math" w:cs="Times New Roman"/>
                  <w:sz w:val="28"/>
                  <w:szCs w:val="28"/>
                </w:rPr>
                <m:t>Годовая_выручка</m:t>
              </m:r>
            </m:den>
          </m:f>
        </m:oMath>
      </m:oMathPara>
    </w:p>
    <w:p w14:paraId="120B438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Период оборота дебиторской задолженности.</w:t>
      </w:r>
    </w:p>
    <w:p w14:paraId="552ABBC1"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Показатель оценивает срок (в днях), в течение которого покупатели в среднем расплачиваются с оцениваемым участником, т. е. косвенно характеризует платежеспособность покупателей, а также эффективность мероприятий по сбору платежей:</w:t>
      </w:r>
    </w:p>
    <w:p w14:paraId="6371C4E9"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ParaPr>
          <m:jc m:val="left"/>
        </m:oMathParaPr>
        <m:oMath>
          <m:r>
            <w:rPr>
              <w:rFonts w:ascii="Cambria Math" w:hAnsi="Cambria Math" w:cs="Times New Roman"/>
              <w:sz w:val="28"/>
              <w:szCs w:val="28"/>
            </w:rPr>
            <m:t>Период_оборота_ДЗ=</m:t>
          </m:r>
          <m:f>
            <m:fPr>
              <m:ctrlPr>
                <w:rPr>
                  <w:rFonts w:ascii="Cambria Math" w:hAnsi="Cambria Math" w:cs="Times New Roman"/>
                  <w:i/>
                  <w:sz w:val="28"/>
                  <w:szCs w:val="28"/>
                </w:rPr>
              </m:ctrlPr>
            </m:fPr>
            <m:num>
              <m:r>
                <w:rPr>
                  <w:rFonts w:ascii="Cambria Math" w:hAnsi="Cambria Math" w:cs="Times New Roman"/>
                  <w:sz w:val="28"/>
                  <w:szCs w:val="28"/>
                </w:rPr>
                <m:t>Величина_ДЗ*365</m:t>
              </m:r>
            </m:num>
            <m:den>
              <m:r>
                <w:rPr>
                  <w:rFonts w:ascii="Cambria Math" w:hAnsi="Cambria Math" w:cs="Times New Roman"/>
                  <w:sz w:val="28"/>
                  <w:szCs w:val="28"/>
                </w:rPr>
                <m:t>Годовая_выручка</m:t>
              </m:r>
            </m:den>
          </m:f>
        </m:oMath>
      </m:oMathPara>
    </w:p>
    <w:p w14:paraId="1E9C0AC5" w14:textId="77777777" w:rsidR="00B06B6F" w:rsidRPr="00FC7951" w:rsidRDefault="00B06B6F" w:rsidP="00725F19">
      <w:pPr>
        <w:jc w:val="right"/>
        <w:rPr>
          <w:rFonts w:ascii="Times New Roman" w:hAnsi="Times New Roman" w:cs="Times New Roman"/>
          <w:lang w:val="en-US"/>
        </w:rPr>
      </w:pPr>
    </w:p>
    <w:p w14:paraId="6355DF29" w14:textId="77777777" w:rsidR="00B06B6F" w:rsidRPr="00FC7951" w:rsidRDefault="00B06B6F" w:rsidP="00791B2D">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791B2D">
        <w:rPr>
          <w:rFonts w:ascii="Times New Roman" w:hAnsi="Times New Roman" w:cs="Times New Roman"/>
        </w:rPr>
        <w:t>елей в баллы по шкале от 0 до 1</w:t>
      </w:r>
    </w:p>
    <w:tbl>
      <w:tblPr>
        <w:tblW w:w="9356" w:type="dxa"/>
        <w:tblInd w:w="-5" w:type="dxa"/>
        <w:tblLayout w:type="fixed"/>
        <w:tblLook w:val="04A0" w:firstRow="1" w:lastRow="0" w:firstColumn="1" w:lastColumn="0" w:noHBand="0" w:noVBand="1"/>
      </w:tblPr>
      <w:tblGrid>
        <w:gridCol w:w="1985"/>
        <w:gridCol w:w="850"/>
        <w:gridCol w:w="567"/>
        <w:gridCol w:w="709"/>
        <w:gridCol w:w="567"/>
        <w:gridCol w:w="709"/>
        <w:gridCol w:w="709"/>
        <w:gridCol w:w="567"/>
        <w:gridCol w:w="708"/>
        <w:gridCol w:w="567"/>
        <w:gridCol w:w="567"/>
        <w:gridCol w:w="851"/>
      </w:tblGrid>
      <w:tr w:rsidR="00B06B6F" w:rsidRPr="00FC7951" w14:paraId="7CE5DBDB" w14:textId="77777777" w:rsidTr="001F127F">
        <w:trPr>
          <w:trHeight w:val="300"/>
        </w:trPr>
        <w:tc>
          <w:tcPr>
            <w:tcW w:w="1985"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05F1F8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0C4A6780"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1D7155F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FFBD4F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1B26320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5AA4D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6771B11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0FA32D3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020ABF3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7155B2A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FB4D56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76B4AC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4A215C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7290D03E" w14:textId="77777777" w:rsidTr="001F127F">
        <w:trPr>
          <w:trHeight w:val="600"/>
        </w:trPr>
        <w:tc>
          <w:tcPr>
            <w:tcW w:w="1985" w:type="dxa"/>
            <w:tcBorders>
              <w:top w:val="nil"/>
              <w:left w:val="single" w:sz="4" w:space="0" w:color="auto"/>
              <w:bottom w:val="single" w:sz="4" w:space="0" w:color="auto"/>
              <w:right w:val="single" w:sz="4" w:space="0" w:color="auto"/>
            </w:tcBorders>
            <w:shd w:val="clear" w:color="auto" w:fill="auto"/>
          </w:tcPr>
          <w:p w14:paraId="1930667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период оборота дебиторской задолженности, </w:t>
            </w:r>
            <w:proofErr w:type="spellStart"/>
            <w:r w:rsidRPr="00FC7951">
              <w:rPr>
                <w:rFonts w:ascii="Times New Roman" w:hAnsi="Times New Roman" w:cs="Times New Roman"/>
                <w:color w:val="000000"/>
              </w:rPr>
              <w:t>дн</w:t>
            </w:r>
            <w:proofErr w:type="spellEnd"/>
          </w:p>
        </w:tc>
        <w:tc>
          <w:tcPr>
            <w:tcW w:w="850" w:type="dxa"/>
            <w:tcBorders>
              <w:top w:val="nil"/>
              <w:left w:val="nil"/>
              <w:bottom w:val="single" w:sz="4" w:space="0" w:color="auto"/>
              <w:right w:val="single" w:sz="4" w:space="0" w:color="auto"/>
            </w:tcBorders>
            <w:shd w:val="clear" w:color="000000" w:fill="FFE5E5"/>
            <w:vAlign w:val="center"/>
          </w:tcPr>
          <w:p w14:paraId="70D760C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более 180 дней</w:t>
            </w:r>
          </w:p>
        </w:tc>
        <w:tc>
          <w:tcPr>
            <w:tcW w:w="567" w:type="dxa"/>
            <w:tcBorders>
              <w:top w:val="nil"/>
              <w:left w:val="nil"/>
              <w:bottom w:val="single" w:sz="4" w:space="0" w:color="auto"/>
              <w:right w:val="single" w:sz="4" w:space="0" w:color="auto"/>
            </w:tcBorders>
            <w:shd w:val="clear" w:color="000000" w:fill="FFE5E5"/>
            <w:noWrap/>
            <w:vAlign w:val="center"/>
          </w:tcPr>
          <w:p w14:paraId="11A7CC8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165</w:t>
            </w:r>
          </w:p>
        </w:tc>
        <w:tc>
          <w:tcPr>
            <w:tcW w:w="709" w:type="dxa"/>
            <w:tcBorders>
              <w:top w:val="nil"/>
              <w:left w:val="nil"/>
              <w:bottom w:val="single" w:sz="4" w:space="0" w:color="auto"/>
              <w:right w:val="single" w:sz="4" w:space="0" w:color="auto"/>
            </w:tcBorders>
            <w:shd w:val="clear" w:color="000000" w:fill="FFE5E5"/>
            <w:noWrap/>
            <w:vAlign w:val="center"/>
          </w:tcPr>
          <w:p w14:paraId="6D5EB0D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150</w:t>
            </w:r>
          </w:p>
        </w:tc>
        <w:tc>
          <w:tcPr>
            <w:tcW w:w="567" w:type="dxa"/>
            <w:tcBorders>
              <w:top w:val="nil"/>
              <w:left w:val="nil"/>
              <w:bottom w:val="single" w:sz="4" w:space="0" w:color="auto"/>
              <w:right w:val="single" w:sz="4" w:space="0" w:color="auto"/>
            </w:tcBorders>
            <w:shd w:val="clear" w:color="000000" w:fill="FFE5E5"/>
            <w:noWrap/>
            <w:vAlign w:val="center"/>
          </w:tcPr>
          <w:p w14:paraId="64B3C2E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135</w:t>
            </w:r>
          </w:p>
        </w:tc>
        <w:tc>
          <w:tcPr>
            <w:tcW w:w="709" w:type="dxa"/>
            <w:tcBorders>
              <w:top w:val="nil"/>
              <w:left w:val="nil"/>
              <w:bottom w:val="single" w:sz="4" w:space="0" w:color="auto"/>
              <w:right w:val="single" w:sz="4" w:space="0" w:color="auto"/>
            </w:tcBorders>
            <w:shd w:val="clear" w:color="000000" w:fill="F8FFB9"/>
            <w:noWrap/>
            <w:vAlign w:val="center"/>
          </w:tcPr>
          <w:p w14:paraId="5F4845B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120</w:t>
            </w:r>
          </w:p>
        </w:tc>
        <w:tc>
          <w:tcPr>
            <w:tcW w:w="709" w:type="dxa"/>
            <w:tcBorders>
              <w:top w:val="nil"/>
              <w:left w:val="nil"/>
              <w:bottom w:val="single" w:sz="4" w:space="0" w:color="auto"/>
              <w:right w:val="single" w:sz="4" w:space="0" w:color="auto"/>
            </w:tcBorders>
            <w:shd w:val="clear" w:color="000000" w:fill="F8FFB9"/>
            <w:noWrap/>
            <w:vAlign w:val="center"/>
          </w:tcPr>
          <w:p w14:paraId="72A79A1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105</w:t>
            </w:r>
          </w:p>
        </w:tc>
        <w:tc>
          <w:tcPr>
            <w:tcW w:w="567" w:type="dxa"/>
            <w:tcBorders>
              <w:top w:val="nil"/>
              <w:left w:val="nil"/>
              <w:bottom w:val="single" w:sz="4" w:space="0" w:color="auto"/>
              <w:right w:val="single" w:sz="4" w:space="0" w:color="auto"/>
            </w:tcBorders>
            <w:shd w:val="clear" w:color="000000" w:fill="C6FED1"/>
            <w:noWrap/>
            <w:vAlign w:val="center"/>
          </w:tcPr>
          <w:p w14:paraId="22CEE33C"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90</w:t>
            </w:r>
          </w:p>
        </w:tc>
        <w:tc>
          <w:tcPr>
            <w:tcW w:w="708" w:type="dxa"/>
            <w:tcBorders>
              <w:top w:val="nil"/>
              <w:left w:val="nil"/>
              <w:bottom w:val="single" w:sz="4" w:space="0" w:color="auto"/>
              <w:right w:val="single" w:sz="4" w:space="0" w:color="auto"/>
            </w:tcBorders>
            <w:shd w:val="clear" w:color="000000" w:fill="C6FED1"/>
            <w:noWrap/>
            <w:vAlign w:val="center"/>
          </w:tcPr>
          <w:p w14:paraId="75F032E9"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75</w:t>
            </w:r>
          </w:p>
        </w:tc>
        <w:tc>
          <w:tcPr>
            <w:tcW w:w="567" w:type="dxa"/>
            <w:tcBorders>
              <w:top w:val="nil"/>
              <w:left w:val="nil"/>
              <w:bottom w:val="single" w:sz="4" w:space="0" w:color="auto"/>
              <w:right w:val="single" w:sz="4" w:space="0" w:color="auto"/>
            </w:tcBorders>
            <w:shd w:val="clear" w:color="000000" w:fill="C6FED1"/>
            <w:noWrap/>
            <w:vAlign w:val="center"/>
          </w:tcPr>
          <w:p w14:paraId="1ADE04B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60</w:t>
            </w:r>
          </w:p>
        </w:tc>
        <w:tc>
          <w:tcPr>
            <w:tcW w:w="567" w:type="dxa"/>
            <w:tcBorders>
              <w:top w:val="nil"/>
              <w:left w:val="nil"/>
              <w:bottom w:val="single" w:sz="4" w:space="0" w:color="auto"/>
              <w:right w:val="single" w:sz="4" w:space="0" w:color="auto"/>
            </w:tcBorders>
            <w:shd w:val="clear" w:color="000000" w:fill="C6FED1"/>
            <w:noWrap/>
            <w:vAlign w:val="center"/>
          </w:tcPr>
          <w:p w14:paraId="5268964F"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45</w:t>
            </w:r>
          </w:p>
        </w:tc>
        <w:tc>
          <w:tcPr>
            <w:tcW w:w="851" w:type="dxa"/>
            <w:tcBorders>
              <w:top w:val="nil"/>
              <w:left w:val="nil"/>
              <w:bottom w:val="single" w:sz="4" w:space="0" w:color="auto"/>
              <w:right w:val="single" w:sz="4" w:space="0" w:color="auto"/>
            </w:tcBorders>
            <w:shd w:val="clear" w:color="000000" w:fill="C6FED1"/>
            <w:vAlign w:val="center"/>
          </w:tcPr>
          <w:p w14:paraId="115B31C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 30 дней</w:t>
            </w:r>
          </w:p>
        </w:tc>
      </w:tr>
      <w:tr w:rsidR="00B06B6F" w:rsidRPr="00FC7951" w14:paraId="618B8C9C" w14:textId="77777777" w:rsidTr="001F127F">
        <w:trPr>
          <w:trHeight w:val="600"/>
        </w:trPr>
        <w:tc>
          <w:tcPr>
            <w:tcW w:w="1985" w:type="dxa"/>
            <w:tcBorders>
              <w:top w:val="nil"/>
              <w:left w:val="single" w:sz="4" w:space="0" w:color="auto"/>
              <w:bottom w:val="single" w:sz="4" w:space="0" w:color="auto"/>
              <w:right w:val="single" w:sz="4" w:space="0" w:color="auto"/>
            </w:tcBorders>
            <w:shd w:val="clear" w:color="auto" w:fill="auto"/>
          </w:tcPr>
          <w:p w14:paraId="3891C286"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период оборота кредиторской задолженности, </w:t>
            </w:r>
            <w:proofErr w:type="spellStart"/>
            <w:r w:rsidRPr="00FC7951">
              <w:rPr>
                <w:rFonts w:ascii="Times New Roman" w:hAnsi="Times New Roman" w:cs="Times New Roman"/>
                <w:color w:val="000000"/>
              </w:rPr>
              <w:t>дн</w:t>
            </w:r>
            <w:proofErr w:type="spellEnd"/>
          </w:p>
        </w:tc>
        <w:tc>
          <w:tcPr>
            <w:tcW w:w="850" w:type="dxa"/>
            <w:tcBorders>
              <w:top w:val="nil"/>
              <w:left w:val="nil"/>
              <w:bottom w:val="single" w:sz="4" w:space="0" w:color="auto"/>
              <w:right w:val="single" w:sz="4" w:space="0" w:color="auto"/>
            </w:tcBorders>
            <w:shd w:val="clear" w:color="000000" w:fill="FFE5E5"/>
            <w:vAlign w:val="center"/>
          </w:tcPr>
          <w:p w14:paraId="4AE06D0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более 180 дней</w:t>
            </w:r>
          </w:p>
        </w:tc>
        <w:tc>
          <w:tcPr>
            <w:tcW w:w="567" w:type="dxa"/>
            <w:tcBorders>
              <w:top w:val="nil"/>
              <w:left w:val="nil"/>
              <w:bottom w:val="single" w:sz="4" w:space="0" w:color="auto"/>
              <w:right w:val="single" w:sz="4" w:space="0" w:color="auto"/>
            </w:tcBorders>
            <w:shd w:val="clear" w:color="000000" w:fill="FFE5E5"/>
            <w:noWrap/>
            <w:vAlign w:val="center"/>
          </w:tcPr>
          <w:p w14:paraId="1EC3003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165</w:t>
            </w:r>
          </w:p>
        </w:tc>
        <w:tc>
          <w:tcPr>
            <w:tcW w:w="709" w:type="dxa"/>
            <w:tcBorders>
              <w:top w:val="nil"/>
              <w:left w:val="nil"/>
              <w:bottom w:val="single" w:sz="4" w:space="0" w:color="auto"/>
              <w:right w:val="single" w:sz="4" w:space="0" w:color="auto"/>
            </w:tcBorders>
            <w:shd w:val="clear" w:color="000000" w:fill="FFE5E5"/>
            <w:noWrap/>
            <w:vAlign w:val="center"/>
          </w:tcPr>
          <w:p w14:paraId="39EC9FB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150</w:t>
            </w:r>
          </w:p>
        </w:tc>
        <w:tc>
          <w:tcPr>
            <w:tcW w:w="567" w:type="dxa"/>
            <w:tcBorders>
              <w:top w:val="nil"/>
              <w:left w:val="nil"/>
              <w:bottom w:val="single" w:sz="4" w:space="0" w:color="auto"/>
              <w:right w:val="single" w:sz="4" w:space="0" w:color="auto"/>
            </w:tcBorders>
            <w:shd w:val="clear" w:color="000000" w:fill="FFE5E5"/>
            <w:noWrap/>
            <w:vAlign w:val="center"/>
          </w:tcPr>
          <w:p w14:paraId="45B8FA5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135</w:t>
            </w:r>
          </w:p>
        </w:tc>
        <w:tc>
          <w:tcPr>
            <w:tcW w:w="709" w:type="dxa"/>
            <w:tcBorders>
              <w:top w:val="nil"/>
              <w:left w:val="nil"/>
              <w:bottom w:val="single" w:sz="4" w:space="0" w:color="auto"/>
              <w:right w:val="single" w:sz="4" w:space="0" w:color="auto"/>
            </w:tcBorders>
            <w:shd w:val="clear" w:color="000000" w:fill="F8FFB9"/>
            <w:noWrap/>
            <w:vAlign w:val="center"/>
          </w:tcPr>
          <w:p w14:paraId="6469A06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120</w:t>
            </w:r>
          </w:p>
        </w:tc>
        <w:tc>
          <w:tcPr>
            <w:tcW w:w="709" w:type="dxa"/>
            <w:tcBorders>
              <w:top w:val="nil"/>
              <w:left w:val="nil"/>
              <w:bottom w:val="single" w:sz="4" w:space="0" w:color="auto"/>
              <w:right w:val="single" w:sz="4" w:space="0" w:color="auto"/>
            </w:tcBorders>
            <w:shd w:val="clear" w:color="000000" w:fill="F8FFB9"/>
            <w:noWrap/>
            <w:vAlign w:val="center"/>
          </w:tcPr>
          <w:p w14:paraId="433C1285"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105</w:t>
            </w:r>
          </w:p>
        </w:tc>
        <w:tc>
          <w:tcPr>
            <w:tcW w:w="567" w:type="dxa"/>
            <w:tcBorders>
              <w:top w:val="nil"/>
              <w:left w:val="nil"/>
              <w:bottom w:val="single" w:sz="4" w:space="0" w:color="auto"/>
              <w:right w:val="single" w:sz="4" w:space="0" w:color="auto"/>
            </w:tcBorders>
            <w:shd w:val="clear" w:color="000000" w:fill="C6FED1"/>
            <w:noWrap/>
            <w:vAlign w:val="center"/>
          </w:tcPr>
          <w:p w14:paraId="729F5680"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90</w:t>
            </w:r>
          </w:p>
        </w:tc>
        <w:tc>
          <w:tcPr>
            <w:tcW w:w="708" w:type="dxa"/>
            <w:tcBorders>
              <w:top w:val="nil"/>
              <w:left w:val="nil"/>
              <w:bottom w:val="single" w:sz="4" w:space="0" w:color="auto"/>
              <w:right w:val="single" w:sz="4" w:space="0" w:color="auto"/>
            </w:tcBorders>
            <w:shd w:val="clear" w:color="000000" w:fill="C6FED1"/>
            <w:noWrap/>
            <w:vAlign w:val="center"/>
          </w:tcPr>
          <w:p w14:paraId="65C652B3"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75</w:t>
            </w:r>
          </w:p>
        </w:tc>
        <w:tc>
          <w:tcPr>
            <w:tcW w:w="567" w:type="dxa"/>
            <w:tcBorders>
              <w:top w:val="nil"/>
              <w:left w:val="nil"/>
              <w:bottom w:val="single" w:sz="4" w:space="0" w:color="auto"/>
              <w:right w:val="single" w:sz="4" w:space="0" w:color="auto"/>
            </w:tcBorders>
            <w:shd w:val="clear" w:color="000000" w:fill="C6FED1"/>
            <w:noWrap/>
            <w:vAlign w:val="center"/>
          </w:tcPr>
          <w:p w14:paraId="045F93F1"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60</w:t>
            </w:r>
          </w:p>
        </w:tc>
        <w:tc>
          <w:tcPr>
            <w:tcW w:w="567" w:type="dxa"/>
            <w:tcBorders>
              <w:top w:val="nil"/>
              <w:left w:val="nil"/>
              <w:bottom w:val="single" w:sz="4" w:space="0" w:color="auto"/>
              <w:right w:val="single" w:sz="4" w:space="0" w:color="auto"/>
            </w:tcBorders>
            <w:shd w:val="clear" w:color="000000" w:fill="C6FED1"/>
            <w:noWrap/>
            <w:vAlign w:val="center"/>
          </w:tcPr>
          <w:p w14:paraId="61BB422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45</w:t>
            </w:r>
          </w:p>
        </w:tc>
        <w:tc>
          <w:tcPr>
            <w:tcW w:w="851" w:type="dxa"/>
            <w:tcBorders>
              <w:top w:val="nil"/>
              <w:left w:val="nil"/>
              <w:bottom w:val="single" w:sz="4" w:space="0" w:color="auto"/>
              <w:right w:val="single" w:sz="4" w:space="0" w:color="auto"/>
            </w:tcBorders>
            <w:shd w:val="clear" w:color="000000" w:fill="C6FED1"/>
            <w:vAlign w:val="center"/>
          </w:tcPr>
          <w:p w14:paraId="67E544C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 30 дней</w:t>
            </w:r>
          </w:p>
        </w:tc>
      </w:tr>
    </w:tbl>
    <w:p w14:paraId="419E171C" w14:textId="77777777" w:rsidR="00B06B6F" w:rsidRPr="00791B2D" w:rsidRDefault="00B06B6F" w:rsidP="00725F19">
      <w:pPr>
        <w:spacing w:before="120" w:after="120"/>
        <w:jc w:val="both"/>
        <w:rPr>
          <w:rFonts w:ascii="Times New Roman" w:hAnsi="Times New Roman" w:cs="Times New Roman"/>
          <w:sz w:val="24"/>
          <w:szCs w:val="24"/>
        </w:rPr>
      </w:pPr>
    </w:p>
    <w:p w14:paraId="68E9703A" w14:textId="77777777" w:rsidR="00B06B6F" w:rsidRPr="00791B2D" w:rsidRDefault="00B06B6F" w:rsidP="00725F19">
      <w:pPr>
        <w:numPr>
          <w:ilvl w:val="1"/>
          <w:numId w:val="1"/>
        </w:numPr>
        <w:tabs>
          <w:tab w:val="left" w:pos="1134"/>
        </w:tabs>
        <w:spacing w:before="120" w:after="120" w:line="240" w:lineRule="auto"/>
        <w:ind w:left="0" w:firstLine="709"/>
        <w:jc w:val="both"/>
        <w:rPr>
          <w:rFonts w:ascii="Times New Roman" w:hAnsi="Times New Roman" w:cs="Times New Roman"/>
          <w:b/>
          <w:sz w:val="24"/>
          <w:szCs w:val="24"/>
        </w:rPr>
      </w:pPr>
      <w:r w:rsidRPr="00791B2D">
        <w:rPr>
          <w:rFonts w:ascii="Times New Roman" w:hAnsi="Times New Roman" w:cs="Times New Roman"/>
          <w:b/>
          <w:sz w:val="24"/>
          <w:szCs w:val="24"/>
        </w:rPr>
        <w:t>Коэффициенты, характеризующие ликвидность</w:t>
      </w:r>
    </w:p>
    <w:p w14:paraId="5E833FD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Абсолютная ликвидность</w:t>
      </w:r>
    </w:p>
    <w:p w14:paraId="6C3585C7"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14:paraId="5C5A1F99" w14:textId="77777777" w:rsidR="00B06B6F" w:rsidRPr="00FC7951" w:rsidRDefault="00B06B6F" w:rsidP="00725F19">
      <w:pPr>
        <w:tabs>
          <w:tab w:val="left" w:pos="1134"/>
        </w:tabs>
        <w:spacing w:before="120" w:after="120"/>
        <w:ind w:firstLine="709"/>
        <w:jc w:val="both"/>
        <w:rPr>
          <w:rFonts w:ascii="Times New Roman" w:hAnsi="Times New Roman" w:cs="Times New Roman"/>
          <w:lang w:val="en-US"/>
        </w:rPr>
      </w:pPr>
      <w:r w:rsidRPr="00FC7951">
        <w:rPr>
          <w:rFonts w:ascii="Times New Roman" w:hAnsi="Times New Roman" w:cs="Times New Roman"/>
        </w:rPr>
        <w:object w:dxaOrig="3540" w:dyaOrig="680" w14:anchorId="1F0C73C9">
          <v:shape id="_x0000_i1028" type="#_x0000_t75" style="width:180pt;height:36pt" o:ole="">
            <v:imagedata r:id="rId14" o:title=""/>
          </v:shape>
          <o:OLEObject Type="Embed" ProgID="Equation.3" ShapeID="_x0000_i1028" DrawAspect="Content" ObjectID="_1806501668" r:id="rId15"/>
        </w:object>
      </w:r>
    </w:p>
    <w:p w14:paraId="087B179D"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Покрытие внеоборотных активов долгосрочными источниками финансирования</w:t>
      </w:r>
    </w:p>
    <w:p w14:paraId="75458C24"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Коэффициент покрытия внеоборотных активов собственным капиталом и долгосрочными обязательствами – отражает, в какой степени внеоборотные активы предприятия финансируются долгосрочным капиталом (заемным и собственным). Коэффициент оценивает ликвидность баланса участника</w:t>
      </w:r>
    </w:p>
    <w:p w14:paraId="081E446E"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5940" w:dyaOrig="680" w14:anchorId="3BC2AB7B">
          <v:shape id="_x0000_i1029" type="#_x0000_t75" style="width:295.5pt;height:36pt" o:ole="">
            <v:imagedata r:id="rId16" o:title=""/>
          </v:shape>
          <o:OLEObject Type="Embed" ProgID="Equation.3" ShapeID="_x0000_i1029" DrawAspect="Content" ObjectID="_1806501669" r:id="rId17"/>
        </w:object>
      </w:r>
    </w:p>
    <w:p w14:paraId="0C33F37A" w14:textId="77777777" w:rsidR="00B06B6F" w:rsidRPr="00FC7951" w:rsidRDefault="00B06B6F" w:rsidP="00725F19">
      <w:pPr>
        <w:jc w:val="right"/>
        <w:rPr>
          <w:rFonts w:ascii="Times New Roman" w:hAnsi="Times New Roman" w:cs="Times New Roman"/>
          <w:lang w:val="en-US"/>
        </w:rPr>
      </w:pPr>
    </w:p>
    <w:p w14:paraId="401035AF" w14:textId="77777777" w:rsidR="00B06B6F" w:rsidRPr="00FC7951" w:rsidRDefault="00B06B6F" w:rsidP="00725F19">
      <w:pPr>
        <w:jc w:val="right"/>
        <w:rPr>
          <w:rFonts w:ascii="Times New Roman" w:hAnsi="Times New Roman" w:cs="Times New Roman"/>
          <w:lang w:val="en-US"/>
        </w:rPr>
      </w:pPr>
    </w:p>
    <w:p w14:paraId="48E8546A" w14:textId="77777777" w:rsidR="00B06B6F" w:rsidRPr="00FC7951" w:rsidRDefault="00B06B6F" w:rsidP="00387421">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387421">
        <w:rPr>
          <w:rFonts w:ascii="Times New Roman" w:hAnsi="Times New Roman" w:cs="Times New Roman"/>
        </w:rPr>
        <w:t>елей в баллы по шкале от 0 до 1</w:t>
      </w:r>
    </w:p>
    <w:tbl>
      <w:tblPr>
        <w:tblW w:w="9498" w:type="dxa"/>
        <w:tblInd w:w="-5" w:type="dxa"/>
        <w:tblLayout w:type="fixed"/>
        <w:tblLook w:val="04A0" w:firstRow="1" w:lastRow="0" w:firstColumn="1" w:lastColumn="0" w:noHBand="0" w:noVBand="1"/>
      </w:tblPr>
      <w:tblGrid>
        <w:gridCol w:w="1560"/>
        <w:gridCol w:w="850"/>
        <w:gridCol w:w="709"/>
        <w:gridCol w:w="709"/>
        <w:gridCol w:w="708"/>
        <w:gridCol w:w="709"/>
        <w:gridCol w:w="709"/>
        <w:gridCol w:w="709"/>
        <w:gridCol w:w="567"/>
        <w:gridCol w:w="708"/>
        <w:gridCol w:w="709"/>
        <w:gridCol w:w="851"/>
      </w:tblGrid>
      <w:tr w:rsidR="00387421" w:rsidRPr="00FC7951" w14:paraId="2DADBC77" w14:textId="77777777" w:rsidTr="00387421">
        <w:trPr>
          <w:trHeight w:val="300"/>
        </w:trPr>
        <w:tc>
          <w:tcPr>
            <w:tcW w:w="156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3FB382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27A7161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lastRenderedPageBreak/>
              <w:t>(мин 0 - макс 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5007B1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lastRenderedPageBreak/>
              <w:t>0,0</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5237DF3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47BF3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622B669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60BD0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7E3B4B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3BC7C6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30FE8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2FC6046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5AA41F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6555F53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387421" w:rsidRPr="00FC7951" w14:paraId="1D4043AE" w14:textId="77777777" w:rsidTr="00387421">
        <w:trPr>
          <w:trHeight w:val="600"/>
        </w:trPr>
        <w:tc>
          <w:tcPr>
            <w:tcW w:w="1560" w:type="dxa"/>
            <w:tcBorders>
              <w:top w:val="nil"/>
              <w:left w:val="single" w:sz="4" w:space="0" w:color="auto"/>
              <w:bottom w:val="single" w:sz="4" w:space="0" w:color="auto"/>
              <w:right w:val="single" w:sz="4" w:space="0" w:color="auto"/>
            </w:tcBorders>
            <w:shd w:val="clear" w:color="auto" w:fill="auto"/>
            <w:vAlign w:val="center"/>
          </w:tcPr>
          <w:p w14:paraId="7D23E78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Абсолютная ликвидность </w:t>
            </w:r>
          </w:p>
        </w:tc>
        <w:tc>
          <w:tcPr>
            <w:tcW w:w="850" w:type="dxa"/>
            <w:tcBorders>
              <w:top w:val="nil"/>
              <w:left w:val="nil"/>
              <w:bottom w:val="single" w:sz="4" w:space="0" w:color="auto"/>
              <w:right w:val="single" w:sz="4" w:space="0" w:color="auto"/>
            </w:tcBorders>
            <w:shd w:val="clear" w:color="000000" w:fill="FFE5E5"/>
            <w:vAlign w:val="center"/>
          </w:tcPr>
          <w:p w14:paraId="657574F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0,02</w:t>
            </w:r>
          </w:p>
        </w:tc>
        <w:tc>
          <w:tcPr>
            <w:tcW w:w="709" w:type="dxa"/>
            <w:tcBorders>
              <w:top w:val="nil"/>
              <w:left w:val="nil"/>
              <w:bottom w:val="single" w:sz="4" w:space="0" w:color="auto"/>
              <w:right w:val="single" w:sz="4" w:space="0" w:color="auto"/>
            </w:tcBorders>
            <w:shd w:val="clear" w:color="000000" w:fill="FFE5E5"/>
            <w:noWrap/>
            <w:vAlign w:val="center"/>
          </w:tcPr>
          <w:p w14:paraId="6615029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0,03</w:t>
            </w:r>
          </w:p>
        </w:tc>
        <w:tc>
          <w:tcPr>
            <w:tcW w:w="709" w:type="dxa"/>
            <w:tcBorders>
              <w:top w:val="nil"/>
              <w:left w:val="nil"/>
              <w:bottom w:val="single" w:sz="4" w:space="0" w:color="auto"/>
              <w:right w:val="single" w:sz="4" w:space="0" w:color="auto"/>
            </w:tcBorders>
            <w:shd w:val="clear" w:color="000000" w:fill="FFE5E5"/>
            <w:noWrap/>
            <w:vAlign w:val="center"/>
          </w:tcPr>
          <w:p w14:paraId="4F124DE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0,04</w:t>
            </w:r>
          </w:p>
        </w:tc>
        <w:tc>
          <w:tcPr>
            <w:tcW w:w="708" w:type="dxa"/>
            <w:tcBorders>
              <w:top w:val="nil"/>
              <w:left w:val="nil"/>
              <w:bottom w:val="single" w:sz="4" w:space="0" w:color="auto"/>
              <w:right w:val="single" w:sz="4" w:space="0" w:color="auto"/>
            </w:tcBorders>
            <w:shd w:val="clear" w:color="000000" w:fill="FFE5E5"/>
            <w:noWrap/>
            <w:vAlign w:val="center"/>
          </w:tcPr>
          <w:p w14:paraId="0C435CF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w:t>
            </w:r>
          </w:p>
        </w:tc>
        <w:tc>
          <w:tcPr>
            <w:tcW w:w="709" w:type="dxa"/>
            <w:tcBorders>
              <w:top w:val="nil"/>
              <w:left w:val="nil"/>
              <w:bottom w:val="single" w:sz="4" w:space="0" w:color="auto"/>
              <w:right w:val="single" w:sz="4" w:space="0" w:color="auto"/>
            </w:tcBorders>
            <w:shd w:val="clear" w:color="000000" w:fill="F8FFB9"/>
            <w:noWrap/>
            <w:vAlign w:val="center"/>
          </w:tcPr>
          <w:p w14:paraId="0F52B6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0,06</w:t>
            </w:r>
          </w:p>
        </w:tc>
        <w:tc>
          <w:tcPr>
            <w:tcW w:w="709" w:type="dxa"/>
            <w:tcBorders>
              <w:top w:val="nil"/>
              <w:left w:val="nil"/>
              <w:bottom w:val="single" w:sz="4" w:space="0" w:color="auto"/>
              <w:right w:val="single" w:sz="4" w:space="0" w:color="auto"/>
            </w:tcBorders>
            <w:shd w:val="clear" w:color="000000" w:fill="F8FFB9"/>
            <w:noWrap/>
            <w:vAlign w:val="center"/>
          </w:tcPr>
          <w:p w14:paraId="73281C0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709" w:type="dxa"/>
            <w:tcBorders>
              <w:top w:val="nil"/>
              <w:left w:val="nil"/>
              <w:bottom w:val="single" w:sz="4" w:space="0" w:color="auto"/>
              <w:right w:val="single" w:sz="4" w:space="0" w:color="auto"/>
            </w:tcBorders>
            <w:shd w:val="clear" w:color="000000" w:fill="C6FED1"/>
            <w:noWrap/>
            <w:vAlign w:val="center"/>
          </w:tcPr>
          <w:p w14:paraId="64C949D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0,09</w:t>
            </w:r>
          </w:p>
        </w:tc>
        <w:tc>
          <w:tcPr>
            <w:tcW w:w="567" w:type="dxa"/>
            <w:tcBorders>
              <w:top w:val="nil"/>
              <w:left w:val="nil"/>
              <w:bottom w:val="single" w:sz="4" w:space="0" w:color="auto"/>
              <w:right w:val="single" w:sz="4" w:space="0" w:color="auto"/>
            </w:tcBorders>
            <w:shd w:val="clear" w:color="000000" w:fill="C6FED1"/>
            <w:noWrap/>
            <w:vAlign w:val="center"/>
          </w:tcPr>
          <w:p w14:paraId="192351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8" w:type="dxa"/>
            <w:tcBorders>
              <w:top w:val="nil"/>
              <w:left w:val="nil"/>
              <w:bottom w:val="single" w:sz="4" w:space="0" w:color="auto"/>
              <w:right w:val="single" w:sz="4" w:space="0" w:color="auto"/>
            </w:tcBorders>
            <w:shd w:val="clear" w:color="000000" w:fill="C6FED1"/>
            <w:noWrap/>
            <w:vAlign w:val="center"/>
          </w:tcPr>
          <w:p w14:paraId="7B00D14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0,13</w:t>
            </w:r>
          </w:p>
        </w:tc>
        <w:tc>
          <w:tcPr>
            <w:tcW w:w="709" w:type="dxa"/>
            <w:tcBorders>
              <w:top w:val="nil"/>
              <w:left w:val="nil"/>
              <w:bottom w:val="single" w:sz="4" w:space="0" w:color="auto"/>
              <w:right w:val="single" w:sz="4" w:space="0" w:color="auto"/>
            </w:tcBorders>
            <w:shd w:val="clear" w:color="000000" w:fill="C6FED1"/>
            <w:noWrap/>
            <w:vAlign w:val="center"/>
          </w:tcPr>
          <w:p w14:paraId="696A82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0,17</w:t>
            </w:r>
          </w:p>
        </w:tc>
        <w:tc>
          <w:tcPr>
            <w:tcW w:w="851" w:type="dxa"/>
            <w:tcBorders>
              <w:top w:val="nil"/>
              <w:left w:val="nil"/>
              <w:bottom w:val="single" w:sz="4" w:space="0" w:color="auto"/>
              <w:right w:val="single" w:sz="4" w:space="0" w:color="auto"/>
            </w:tcBorders>
            <w:shd w:val="clear" w:color="000000" w:fill="C6FED1"/>
            <w:vAlign w:val="center"/>
          </w:tcPr>
          <w:p w14:paraId="3619F7B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0,2</w:t>
            </w:r>
          </w:p>
        </w:tc>
      </w:tr>
      <w:tr w:rsidR="00387421" w:rsidRPr="00FC7951" w14:paraId="5E61462D" w14:textId="77777777" w:rsidTr="00387421">
        <w:trPr>
          <w:trHeight w:val="1500"/>
        </w:trPr>
        <w:tc>
          <w:tcPr>
            <w:tcW w:w="1560" w:type="dxa"/>
            <w:tcBorders>
              <w:top w:val="nil"/>
              <w:left w:val="single" w:sz="4" w:space="0" w:color="auto"/>
              <w:bottom w:val="single" w:sz="4" w:space="0" w:color="auto"/>
              <w:right w:val="single" w:sz="4" w:space="0" w:color="auto"/>
            </w:tcBorders>
            <w:shd w:val="clear" w:color="auto" w:fill="auto"/>
            <w:vAlign w:val="center"/>
          </w:tcPr>
          <w:p w14:paraId="45711FC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Покрытие внеоборотных активов долгосрочными источниками финансирования</w:t>
            </w:r>
          </w:p>
        </w:tc>
        <w:tc>
          <w:tcPr>
            <w:tcW w:w="850" w:type="dxa"/>
            <w:tcBorders>
              <w:top w:val="nil"/>
              <w:left w:val="nil"/>
              <w:bottom w:val="single" w:sz="4" w:space="0" w:color="auto"/>
              <w:right w:val="single" w:sz="4" w:space="0" w:color="auto"/>
            </w:tcBorders>
            <w:shd w:val="clear" w:color="000000" w:fill="FFE5E5"/>
            <w:vAlign w:val="center"/>
          </w:tcPr>
          <w:p w14:paraId="1FDD36F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1,8</w:t>
            </w:r>
          </w:p>
        </w:tc>
        <w:tc>
          <w:tcPr>
            <w:tcW w:w="709" w:type="dxa"/>
            <w:tcBorders>
              <w:top w:val="nil"/>
              <w:left w:val="nil"/>
              <w:bottom w:val="single" w:sz="4" w:space="0" w:color="auto"/>
              <w:right w:val="single" w:sz="4" w:space="0" w:color="auto"/>
            </w:tcBorders>
            <w:shd w:val="clear" w:color="000000" w:fill="FFE5E5"/>
            <w:noWrap/>
            <w:vAlign w:val="center"/>
          </w:tcPr>
          <w:p w14:paraId="049361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1,7</w:t>
            </w:r>
          </w:p>
        </w:tc>
        <w:tc>
          <w:tcPr>
            <w:tcW w:w="709" w:type="dxa"/>
            <w:tcBorders>
              <w:top w:val="nil"/>
              <w:left w:val="nil"/>
              <w:bottom w:val="single" w:sz="4" w:space="0" w:color="auto"/>
              <w:right w:val="single" w:sz="4" w:space="0" w:color="auto"/>
            </w:tcBorders>
            <w:shd w:val="clear" w:color="000000" w:fill="FFE5E5"/>
            <w:noWrap/>
            <w:vAlign w:val="center"/>
          </w:tcPr>
          <w:p w14:paraId="24FD15B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1,6</w:t>
            </w:r>
          </w:p>
        </w:tc>
        <w:tc>
          <w:tcPr>
            <w:tcW w:w="708" w:type="dxa"/>
            <w:tcBorders>
              <w:top w:val="nil"/>
              <w:left w:val="nil"/>
              <w:bottom w:val="single" w:sz="4" w:space="0" w:color="auto"/>
              <w:right w:val="single" w:sz="4" w:space="0" w:color="auto"/>
            </w:tcBorders>
            <w:shd w:val="clear" w:color="000000" w:fill="FFE5E5"/>
            <w:noWrap/>
            <w:vAlign w:val="center"/>
          </w:tcPr>
          <w:p w14:paraId="1C36E9B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1,5</w:t>
            </w:r>
          </w:p>
        </w:tc>
        <w:tc>
          <w:tcPr>
            <w:tcW w:w="709" w:type="dxa"/>
            <w:tcBorders>
              <w:top w:val="nil"/>
              <w:left w:val="nil"/>
              <w:bottom w:val="single" w:sz="4" w:space="0" w:color="auto"/>
              <w:right w:val="single" w:sz="4" w:space="0" w:color="auto"/>
            </w:tcBorders>
            <w:shd w:val="clear" w:color="000000" w:fill="F8FFB9"/>
            <w:noWrap/>
            <w:vAlign w:val="center"/>
          </w:tcPr>
          <w:p w14:paraId="01B102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w:t>
            </w:r>
          </w:p>
        </w:tc>
        <w:tc>
          <w:tcPr>
            <w:tcW w:w="709" w:type="dxa"/>
            <w:tcBorders>
              <w:top w:val="nil"/>
              <w:left w:val="nil"/>
              <w:bottom w:val="single" w:sz="4" w:space="0" w:color="auto"/>
              <w:right w:val="single" w:sz="4" w:space="0" w:color="auto"/>
            </w:tcBorders>
            <w:shd w:val="clear" w:color="000000" w:fill="F8FFB9"/>
            <w:noWrap/>
            <w:vAlign w:val="center"/>
          </w:tcPr>
          <w:p w14:paraId="7EB2F2C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1,3</w:t>
            </w:r>
          </w:p>
        </w:tc>
        <w:tc>
          <w:tcPr>
            <w:tcW w:w="709" w:type="dxa"/>
            <w:tcBorders>
              <w:top w:val="nil"/>
              <w:left w:val="nil"/>
              <w:bottom w:val="single" w:sz="4" w:space="0" w:color="auto"/>
              <w:right w:val="single" w:sz="4" w:space="0" w:color="auto"/>
            </w:tcBorders>
            <w:shd w:val="clear" w:color="000000" w:fill="C6FED1"/>
            <w:noWrap/>
            <w:vAlign w:val="center"/>
          </w:tcPr>
          <w:p w14:paraId="3217D6B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1,2</w:t>
            </w:r>
          </w:p>
        </w:tc>
        <w:tc>
          <w:tcPr>
            <w:tcW w:w="567" w:type="dxa"/>
            <w:tcBorders>
              <w:top w:val="nil"/>
              <w:left w:val="nil"/>
              <w:bottom w:val="single" w:sz="4" w:space="0" w:color="auto"/>
              <w:right w:val="single" w:sz="4" w:space="0" w:color="auto"/>
            </w:tcBorders>
            <w:shd w:val="clear" w:color="000000" w:fill="C6FED1"/>
            <w:noWrap/>
            <w:vAlign w:val="center"/>
          </w:tcPr>
          <w:p w14:paraId="5794298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1,1</w:t>
            </w:r>
          </w:p>
        </w:tc>
        <w:tc>
          <w:tcPr>
            <w:tcW w:w="708" w:type="dxa"/>
            <w:tcBorders>
              <w:top w:val="nil"/>
              <w:left w:val="nil"/>
              <w:bottom w:val="single" w:sz="4" w:space="0" w:color="auto"/>
              <w:right w:val="single" w:sz="4" w:space="0" w:color="auto"/>
            </w:tcBorders>
            <w:shd w:val="clear" w:color="000000" w:fill="C6FED1"/>
            <w:noWrap/>
            <w:vAlign w:val="center"/>
          </w:tcPr>
          <w:p w14:paraId="6A0A091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c>
          <w:tcPr>
            <w:tcW w:w="709" w:type="dxa"/>
            <w:tcBorders>
              <w:top w:val="nil"/>
              <w:left w:val="nil"/>
              <w:bottom w:val="single" w:sz="4" w:space="0" w:color="auto"/>
              <w:right w:val="single" w:sz="4" w:space="0" w:color="auto"/>
            </w:tcBorders>
            <w:shd w:val="clear" w:color="000000" w:fill="C6FED1"/>
            <w:noWrap/>
            <w:vAlign w:val="center"/>
          </w:tcPr>
          <w:p w14:paraId="1E0BAA8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nil"/>
              <w:left w:val="nil"/>
              <w:bottom w:val="single" w:sz="4" w:space="0" w:color="auto"/>
              <w:right w:val="single" w:sz="4" w:space="0" w:color="auto"/>
            </w:tcBorders>
            <w:shd w:val="clear" w:color="000000" w:fill="C6FED1"/>
            <w:vAlign w:val="center"/>
          </w:tcPr>
          <w:p w14:paraId="4099912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0,8</w:t>
            </w:r>
          </w:p>
        </w:tc>
      </w:tr>
    </w:tbl>
    <w:p w14:paraId="54CE061C" w14:textId="77777777" w:rsidR="00B06B6F" w:rsidRPr="00FC7951" w:rsidRDefault="00B06B6F" w:rsidP="00725F19">
      <w:pPr>
        <w:rPr>
          <w:rFonts w:ascii="Times New Roman" w:hAnsi="Times New Roman" w:cs="Times New Roman"/>
        </w:rPr>
      </w:pPr>
    </w:p>
    <w:p w14:paraId="7ECD513C" w14:textId="77777777" w:rsidR="00B06B6F" w:rsidRPr="00791B2D" w:rsidRDefault="00B06B6F" w:rsidP="00725F19">
      <w:pPr>
        <w:pStyle w:val="1"/>
        <w:tabs>
          <w:tab w:val="clear" w:pos="1353"/>
          <w:tab w:val="left" w:pos="1134"/>
          <w:tab w:val="num" w:pos="1418"/>
        </w:tabs>
        <w:ind w:left="0" w:firstLine="709"/>
      </w:pPr>
      <w:bookmarkStart w:id="21" w:name="_Toc107244334"/>
      <w:bookmarkStart w:id="22" w:name="_Toc107247773"/>
      <w:r w:rsidRPr="00791B2D">
        <w:t>ГРУППА ПОКАЗАТЕЛЕЙ БИЗНЕС-РИСКА</w:t>
      </w:r>
      <w:bookmarkEnd w:id="21"/>
      <w:bookmarkEnd w:id="22"/>
      <w:r w:rsidRPr="00791B2D">
        <w:t xml:space="preserve"> </w:t>
      </w:r>
    </w:p>
    <w:p w14:paraId="25B26EAC" w14:textId="77777777" w:rsidR="00B06B6F" w:rsidRPr="00791B2D" w:rsidRDefault="00B06B6F" w:rsidP="00725F19">
      <w:pPr>
        <w:pStyle w:val="ac"/>
        <w:numPr>
          <w:ilvl w:val="1"/>
          <w:numId w:val="1"/>
        </w:numPr>
        <w:tabs>
          <w:tab w:val="left" w:pos="1134"/>
        </w:tabs>
        <w:spacing w:before="120" w:after="120"/>
        <w:ind w:left="0" w:firstLine="709"/>
        <w:rPr>
          <w:b/>
        </w:rPr>
      </w:pPr>
      <w:r w:rsidRPr="00791B2D">
        <w:rPr>
          <w:b/>
        </w:rPr>
        <w:t>Соответствие масштабов деятельности участника закупочной процедуры сумме закупки (в сравнении с активами, с выручкой)</w:t>
      </w:r>
    </w:p>
    <w:p w14:paraId="494C8A56"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участников,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участников, имеющих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14:paraId="1863D485"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 значений показателей в баллы по шкале от 0 до 1</w:t>
      </w:r>
    </w:p>
    <w:tbl>
      <w:tblPr>
        <w:tblW w:w="9356" w:type="dxa"/>
        <w:tblInd w:w="-5" w:type="dxa"/>
        <w:tblLayout w:type="fixed"/>
        <w:tblLook w:val="04A0" w:firstRow="1" w:lastRow="0" w:firstColumn="1" w:lastColumn="0" w:noHBand="0" w:noVBand="1"/>
      </w:tblPr>
      <w:tblGrid>
        <w:gridCol w:w="1843"/>
        <w:gridCol w:w="851"/>
        <w:gridCol w:w="567"/>
        <w:gridCol w:w="567"/>
        <w:gridCol w:w="708"/>
        <w:gridCol w:w="709"/>
        <w:gridCol w:w="709"/>
        <w:gridCol w:w="709"/>
        <w:gridCol w:w="567"/>
        <w:gridCol w:w="708"/>
        <w:gridCol w:w="567"/>
        <w:gridCol w:w="851"/>
      </w:tblGrid>
      <w:tr w:rsidR="00B06B6F" w:rsidRPr="00FC7951" w14:paraId="4926DA18" w14:textId="77777777" w:rsidTr="003F4A32">
        <w:trPr>
          <w:trHeight w:val="300"/>
        </w:trPr>
        <w:tc>
          <w:tcPr>
            <w:tcW w:w="184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DCAC8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54D3E2C7"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5FAFD26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72842D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E980DA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0A500B9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BD996D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257CA10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93A6B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12B8A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4E7E89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6770016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4EF286B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238C7512" w14:textId="77777777" w:rsidTr="003F4A32">
        <w:trPr>
          <w:trHeight w:val="795"/>
        </w:trPr>
        <w:tc>
          <w:tcPr>
            <w:tcW w:w="1843" w:type="dxa"/>
            <w:tcBorders>
              <w:top w:val="nil"/>
              <w:left w:val="single" w:sz="4" w:space="0" w:color="auto"/>
              <w:bottom w:val="single" w:sz="4" w:space="0" w:color="auto"/>
              <w:right w:val="single" w:sz="4" w:space="0" w:color="auto"/>
            </w:tcBorders>
            <w:shd w:val="clear" w:color="auto" w:fill="auto"/>
            <w:vAlign w:val="center"/>
          </w:tcPr>
          <w:p w14:paraId="7289ACB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14:paraId="26B4258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более </w:t>
            </w:r>
            <w:r w:rsidRPr="00FC7951">
              <w:rPr>
                <w:rFonts w:ascii="Times New Roman" w:hAnsi="Times New Roman" w:cs="Times New Roman"/>
                <w:color w:val="000000"/>
                <w:lang w:val="en-US"/>
              </w:rPr>
              <w:t>1.4</w:t>
            </w:r>
          </w:p>
        </w:tc>
        <w:tc>
          <w:tcPr>
            <w:tcW w:w="567" w:type="dxa"/>
            <w:tcBorders>
              <w:top w:val="nil"/>
              <w:left w:val="nil"/>
              <w:bottom w:val="single" w:sz="4" w:space="0" w:color="auto"/>
              <w:right w:val="single" w:sz="4" w:space="0" w:color="auto"/>
            </w:tcBorders>
            <w:shd w:val="clear" w:color="000000" w:fill="FFE5E5"/>
            <w:noWrap/>
            <w:vAlign w:val="center"/>
          </w:tcPr>
          <w:p w14:paraId="68106A4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567" w:type="dxa"/>
            <w:tcBorders>
              <w:top w:val="nil"/>
              <w:left w:val="nil"/>
              <w:bottom w:val="single" w:sz="4" w:space="0" w:color="auto"/>
              <w:right w:val="single" w:sz="4" w:space="0" w:color="auto"/>
            </w:tcBorders>
            <w:shd w:val="clear" w:color="000000" w:fill="FFE5E5"/>
            <w:noWrap/>
            <w:vAlign w:val="center"/>
          </w:tcPr>
          <w:p w14:paraId="58CB305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w:t>
            </w:r>
          </w:p>
        </w:tc>
        <w:tc>
          <w:tcPr>
            <w:tcW w:w="708" w:type="dxa"/>
            <w:tcBorders>
              <w:top w:val="nil"/>
              <w:left w:val="nil"/>
              <w:bottom w:val="single" w:sz="4" w:space="0" w:color="auto"/>
              <w:right w:val="single" w:sz="4" w:space="0" w:color="auto"/>
            </w:tcBorders>
            <w:shd w:val="clear" w:color="000000" w:fill="FFE5E5"/>
            <w:noWrap/>
            <w:vAlign w:val="center"/>
          </w:tcPr>
          <w:p w14:paraId="060B4D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0.8</w:t>
            </w:r>
          </w:p>
        </w:tc>
        <w:tc>
          <w:tcPr>
            <w:tcW w:w="709" w:type="dxa"/>
            <w:tcBorders>
              <w:top w:val="nil"/>
              <w:left w:val="nil"/>
              <w:bottom w:val="single" w:sz="4" w:space="0" w:color="auto"/>
              <w:right w:val="single" w:sz="4" w:space="0" w:color="auto"/>
            </w:tcBorders>
            <w:shd w:val="clear" w:color="000000" w:fill="F8FFB9"/>
            <w:noWrap/>
            <w:vAlign w:val="center"/>
          </w:tcPr>
          <w:p w14:paraId="7AAB1E6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709" w:type="dxa"/>
            <w:tcBorders>
              <w:top w:val="nil"/>
              <w:left w:val="nil"/>
              <w:bottom w:val="single" w:sz="4" w:space="0" w:color="auto"/>
              <w:right w:val="single" w:sz="4" w:space="0" w:color="auto"/>
            </w:tcBorders>
            <w:shd w:val="clear" w:color="000000" w:fill="F8FFB9"/>
            <w:noWrap/>
            <w:vAlign w:val="center"/>
          </w:tcPr>
          <w:p w14:paraId="11B9F26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0.46</w:t>
            </w:r>
          </w:p>
        </w:tc>
        <w:tc>
          <w:tcPr>
            <w:tcW w:w="709" w:type="dxa"/>
            <w:tcBorders>
              <w:top w:val="nil"/>
              <w:left w:val="nil"/>
              <w:bottom w:val="single" w:sz="4" w:space="0" w:color="auto"/>
              <w:right w:val="single" w:sz="4" w:space="0" w:color="auto"/>
            </w:tcBorders>
            <w:shd w:val="clear" w:color="000000" w:fill="C6FED1"/>
            <w:noWrap/>
            <w:vAlign w:val="center"/>
          </w:tcPr>
          <w:p w14:paraId="2595B1B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0.33</w:t>
            </w:r>
          </w:p>
        </w:tc>
        <w:tc>
          <w:tcPr>
            <w:tcW w:w="567" w:type="dxa"/>
            <w:tcBorders>
              <w:top w:val="nil"/>
              <w:left w:val="nil"/>
              <w:bottom w:val="single" w:sz="4" w:space="0" w:color="auto"/>
              <w:right w:val="single" w:sz="4" w:space="0" w:color="auto"/>
            </w:tcBorders>
            <w:shd w:val="clear" w:color="000000" w:fill="C6FED1"/>
            <w:noWrap/>
            <w:vAlign w:val="center"/>
          </w:tcPr>
          <w:p w14:paraId="7AD0625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nil"/>
              <w:left w:val="nil"/>
              <w:bottom w:val="single" w:sz="4" w:space="0" w:color="auto"/>
              <w:right w:val="single" w:sz="4" w:space="0" w:color="auto"/>
            </w:tcBorders>
            <w:shd w:val="clear" w:color="000000" w:fill="C6FED1"/>
            <w:noWrap/>
            <w:vAlign w:val="center"/>
          </w:tcPr>
          <w:p w14:paraId="2759BD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0,15</w:t>
            </w:r>
          </w:p>
        </w:tc>
        <w:tc>
          <w:tcPr>
            <w:tcW w:w="567" w:type="dxa"/>
            <w:tcBorders>
              <w:top w:val="nil"/>
              <w:left w:val="nil"/>
              <w:bottom w:val="single" w:sz="4" w:space="0" w:color="auto"/>
              <w:right w:val="single" w:sz="4" w:space="0" w:color="auto"/>
            </w:tcBorders>
            <w:shd w:val="clear" w:color="000000" w:fill="C6FED1"/>
            <w:noWrap/>
            <w:vAlign w:val="center"/>
          </w:tcPr>
          <w:p w14:paraId="38B9A23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851" w:type="dxa"/>
            <w:tcBorders>
              <w:top w:val="nil"/>
              <w:left w:val="nil"/>
              <w:bottom w:val="single" w:sz="4" w:space="0" w:color="auto"/>
              <w:right w:val="single" w:sz="4" w:space="0" w:color="auto"/>
            </w:tcBorders>
            <w:shd w:val="clear" w:color="000000" w:fill="C6FED1"/>
            <w:vAlign w:val="center"/>
          </w:tcPr>
          <w:p w14:paraId="4491AC5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менее </w:t>
            </w:r>
            <w:r w:rsidRPr="00FC7951">
              <w:rPr>
                <w:rFonts w:ascii="Times New Roman" w:hAnsi="Times New Roman" w:cs="Times New Roman"/>
                <w:color w:val="000000"/>
                <w:lang w:val="en-US"/>
              </w:rPr>
              <w:t>0.05</w:t>
            </w:r>
          </w:p>
        </w:tc>
      </w:tr>
      <w:tr w:rsidR="00B06B6F" w:rsidRPr="00FC7951" w14:paraId="3D6C56CD" w14:textId="77777777" w:rsidTr="003F4A32">
        <w:trPr>
          <w:trHeight w:val="795"/>
        </w:trPr>
        <w:tc>
          <w:tcPr>
            <w:tcW w:w="1843" w:type="dxa"/>
            <w:tcBorders>
              <w:top w:val="nil"/>
              <w:left w:val="single" w:sz="4" w:space="0" w:color="auto"/>
              <w:bottom w:val="single" w:sz="4" w:space="0" w:color="auto"/>
              <w:right w:val="single" w:sz="4" w:space="0" w:color="auto"/>
            </w:tcBorders>
            <w:shd w:val="clear" w:color="auto" w:fill="auto"/>
            <w:vAlign w:val="center"/>
          </w:tcPr>
          <w:p w14:paraId="5E73FE9E"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14:paraId="22FBCD6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более </w:t>
            </w:r>
            <w:r w:rsidRPr="00FC7951">
              <w:rPr>
                <w:rFonts w:ascii="Times New Roman" w:hAnsi="Times New Roman" w:cs="Times New Roman"/>
                <w:color w:val="000000"/>
                <w:lang w:val="en-US"/>
              </w:rPr>
              <w:t>2.8</w:t>
            </w:r>
          </w:p>
        </w:tc>
        <w:tc>
          <w:tcPr>
            <w:tcW w:w="567" w:type="dxa"/>
            <w:tcBorders>
              <w:top w:val="nil"/>
              <w:left w:val="nil"/>
              <w:bottom w:val="single" w:sz="4" w:space="0" w:color="auto"/>
              <w:right w:val="single" w:sz="4" w:space="0" w:color="auto"/>
            </w:tcBorders>
            <w:shd w:val="clear" w:color="000000" w:fill="FFE5E5"/>
            <w:noWrap/>
            <w:vAlign w:val="center"/>
          </w:tcPr>
          <w:p w14:paraId="31032E9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2.4</w:t>
            </w:r>
          </w:p>
        </w:tc>
        <w:tc>
          <w:tcPr>
            <w:tcW w:w="567" w:type="dxa"/>
            <w:tcBorders>
              <w:top w:val="nil"/>
              <w:left w:val="nil"/>
              <w:bottom w:val="single" w:sz="4" w:space="0" w:color="auto"/>
              <w:right w:val="single" w:sz="4" w:space="0" w:color="auto"/>
            </w:tcBorders>
            <w:shd w:val="clear" w:color="000000" w:fill="FFE5E5"/>
            <w:noWrap/>
            <w:vAlign w:val="center"/>
          </w:tcPr>
          <w:p w14:paraId="621E8E8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2</w:t>
            </w:r>
          </w:p>
        </w:tc>
        <w:tc>
          <w:tcPr>
            <w:tcW w:w="708" w:type="dxa"/>
            <w:tcBorders>
              <w:top w:val="nil"/>
              <w:left w:val="nil"/>
              <w:bottom w:val="single" w:sz="4" w:space="0" w:color="auto"/>
              <w:right w:val="single" w:sz="4" w:space="0" w:color="auto"/>
            </w:tcBorders>
            <w:shd w:val="clear" w:color="000000" w:fill="FFE5E5"/>
            <w:noWrap/>
            <w:vAlign w:val="center"/>
          </w:tcPr>
          <w:p w14:paraId="494F863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1.6</w:t>
            </w:r>
          </w:p>
        </w:tc>
        <w:tc>
          <w:tcPr>
            <w:tcW w:w="709" w:type="dxa"/>
            <w:tcBorders>
              <w:top w:val="nil"/>
              <w:left w:val="nil"/>
              <w:bottom w:val="single" w:sz="4" w:space="0" w:color="auto"/>
              <w:right w:val="single" w:sz="4" w:space="0" w:color="auto"/>
            </w:tcBorders>
            <w:shd w:val="clear" w:color="000000" w:fill="F8FFB9"/>
            <w:noWrap/>
            <w:vAlign w:val="center"/>
          </w:tcPr>
          <w:p w14:paraId="0ADC173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709" w:type="dxa"/>
            <w:tcBorders>
              <w:top w:val="nil"/>
              <w:left w:val="nil"/>
              <w:bottom w:val="single" w:sz="4" w:space="0" w:color="auto"/>
              <w:right w:val="single" w:sz="4" w:space="0" w:color="auto"/>
            </w:tcBorders>
            <w:shd w:val="clear" w:color="000000" w:fill="F8FFB9"/>
            <w:noWrap/>
            <w:vAlign w:val="center"/>
          </w:tcPr>
          <w:p w14:paraId="3874484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0.92</w:t>
            </w:r>
          </w:p>
        </w:tc>
        <w:tc>
          <w:tcPr>
            <w:tcW w:w="709" w:type="dxa"/>
            <w:tcBorders>
              <w:top w:val="nil"/>
              <w:left w:val="nil"/>
              <w:bottom w:val="single" w:sz="4" w:space="0" w:color="auto"/>
              <w:right w:val="single" w:sz="4" w:space="0" w:color="auto"/>
            </w:tcBorders>
            <w:shd w:val="clear" w:color="000000" w:fill="C6FED1"/>
            <w:noWrap/>
            <w:vAlign w:val="center"/>
          </w:tcPr>
          <w:p w14:paraId="6006238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0.66</w:t>
            </w:r>
          </w:p>
        </w:tc>
        <w:tc>
          <w:tcPr>
            <w:tcW w:w="567" w:type="dxa"/>
            <w:tcBorders>
              <w:top w:val="nil"/>
              <w:left w:val="nil"/>
              <w:bottom w:val="single" w:sz="4" w:space="0" w:color="auto"/>
              <w:right w:val="single" w:sz="4" w:space="0" w:color="auto"/>
            </w:tcBorders>
            <w:shd w:val="clear" w:color="000000" w:fill="C6FED1"/>
            <w:noWrap/>
            <w:vAlign w:val="center"/>
          </w:tcPr>
          <w:p w14:paraId="668D304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tcBorders>
              <w:top w:val="nil"/>
              <w:left w:val="nil"/>
              <w:bottom w:val="single" w:sz="4" w:space="0" w:color="auto"/>
              <w:right w:val="single" w:sz="4" w:space="0" w:color="auto"/>
            </w:tcBorders>
            <w:shd w:val="clear" w:color="000000" w:fill="C6FED1"/>
            <w:noWrap/>
            <w:vAlign w:val="center"/>
          </w:tcPr>
          <w:p w14:paraId="51811B6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567" w:type="dxa"/>
            <w:tcBorders>
              <w:top w:val="nil"/>
              <w:left w:val="nil"/>
              <w:bottom w:val="single" w:sz="4" w:space="0" w:color="auto"/>
              <w:right w:val="single" w:sz="4" w:space="0" w:color="auto"/>
            </w:tcBorders>
            <w:shd w:val="clear" w:color="000000" w:fill="C6FED1"/>
            <w:noWrap/>
            <w:vAlign w:val="center"/>
          </w:tcPr>
          <w:p w14:paraId="61045C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851" w:type="dxa"/>
            <w:tcBorders>
              <w:top w:val="nil"/>
              <w:left w:val="nil"/>
              <w:bottom w:val="single" w:sz="4" w:space="0" w:color="auto"/>
              <w:right w:val="single" w:sz="4" w:space="0" w:color="auto"/>
            </w:tcBorders>
            <w:shd w:val="clear" w:color="000000" w:fill="C6FED1"/>
            <w:vAlign w:val="center"/>
          </w:tcPr>
          <w:p w14:paraId="7F5A11D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менее </w:t>
            </w:r>
            <w:r w:rsidRPr="00FC7951">
              <w:rPr>
                <w:rFonts w:ascii="Times New Roman" w:hAnsi="Times New Roman" w:cs="Times New Roman"/>
                <w:color w:val="000000"/>
                <w:lang w:val="en-US"/>
              </w:rPr>
              <w:t>0.1</w:t>
            </w:r>
          </w:p>
        </w:tc>
      </w:tr>
    </w:tbl>
    <w:p w14:paraId="004AD8B5" w14:textId="77777777" w:rsidR="00B06B6F" w:rsidRPr="00791B2D" w:rsidRDefault="00B06B6F" w:rsidP="00725F19">
      <w:pPr>
        <w:tabs>
          <w:tab w:val="left" w:pos="1134"/>
        </w:tabs>
        <w:spacing w:before="120"/>
        <w:ind w:firstLine="709"/>
        <w:jc w:val="both"/>
        <w:rPr>
          <w:rFonts w:ascii="Times New Roman" w:hAnsi="Times New Roman" w:cs="Times New Roman"/>
          <w:sz w:val="24"/>
          <w:szCs w:val="24"/>
        </w:rPr>
      </w:pPr>
      <w:r w:rsidRPr="00791B2D">
        <w:rPr>
          <w:rFonts w:ascii="Times New Roman" w:hAnsi="Times New Roman" w:cs="Times New Roman"/>
          <w:sz w:val="24"/>
          <w:szCs w:val="24"/>
        </w:rPr>
        <w:t>При этом, в целях обеспечения сопоставимости при расчете показателей и корректной оценки, рекомендуется осуществлять пересчет суммы закупки в годовое выражение в случаях, когда согласно предоставленной участником документации срок реализации договора составляет более 1 (одного) календарного года.</w:t>
      </w:r>
    </w:p>
    <w:p w14:paraId="52685040"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В случаях, когда срок реализации договора составляет более 1,5 (полутора) календарных лет, осуществление пересчета суммы закупки в годовое выражение является обязательным.</w:t>
      </w:r>
    </w:p>
    <w:p w14:paraId="06DB7F72"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Пересчет осуществляется по формуле, представленной ниже:</w:t>
      </w:r>
    </w:p>
    <w:p w14:paraId="2DB4F243"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ParaPr>
          <m:jc m:val="left"/>
        </m:oMathParaPr>
        <m:oMath>
          <m:r>
            <w:rPr>
              <w:rFonts w:ascii="Cambria Math" w:hAnsi="Cambria Math" w:cs="Times New Roman"/>
            </w:rPr>
            <m:t>Сумма закупки в пересчете на год=</m:t>
          </m:r>
          <m:f>
            <m:fPr>
              <m:ctrlPr>
                <w:rPr>
                  <w:rFonts w:ascii="Cambria Math" w:hAnsi="Cambria Math" w:cs="Times New Roman"/>
                  <w:i/>
                </w:rPr>
              </m:ctrlPr>
            </m:fPr>
            <m:num>
              <m:r>
                <w:rPr>
                  <w:rFonts w:ascii="Cambria Math" w:hAnsi="Cambria Math" w:cs="Times New Roman"/>
                </w:rPr>
                <m:t>Сумма закупки *</m:t>
              </m:r>
              <m:r>
                <w:rPr>
                  <w:rFonts w:ascii="Cambria Math" w:hAnsi="Cambria Math" w:cs="Times New Roman"/>
                  <w:lang w:val="en-TT"/>
                </w:rPr>
                <m:t>12</m:t>
              </m:r>
              <m:r>
                <w:rPr>
                  <w:rFonts w:ascii="Cambria Math" w:hAnsi="Cambria Math" w:cs="Times New Roman"/>
                </w:rPr>
                <m:t xml:space="preserve"> </m:t>
              </m:r>
            </m:num>
            <m:den>
              <m:r>
                <w:rPr>
                  <w:rFonts w:ascii="Cambria Math" w:hAnsi="Cambria Math" w:cs="Times New Roman"/>
                </w:rPr>
                <m:t>N</m:t>
              </m:r>
            </m:den>
          </m:f>
        </m:oMath>
      </m:oMathPara>
    </w:p>
    <w:p w14:paraId="11BEB083" w14:textId="77777777" w:rsidR="00B06B6F" w:rsidRPr="00791B2D" w:rsidRDefault="00B06B6F" w:rsidP="00791B2D">
      <w:pPr>
        <w:pStyle w:val="ac"/>
        <w:tabs>
          <w:tab w:val="left" w:pos="1134"/>
        </w:tabs>
        <w:spacing w:before="120" w:after="120"/>
        <w:ind w:left="0" w:firstLine="709"/>
        <w:jc w:val="both"/>
        <w:rPr>
          <w:bCs/>
        </w:rPr>
      </w:pPr>
      <w:r w:rsidRPr="00FC7951">
        <w:rPr>
          <w:bCs/>
        </w:rPr>
        <w:t xml:space="preserve">где </w:t>
      </w:r>
      <w:r w:rsidRPr="00FC7951">
        <w:rPr>
          <w:bCs/>
          <w:lang w:val="en-TT"/>
        </w:rPr>
        <w:t>N</w:t>
      </w:r>
      <w:r w:rsidRPr="00FC7951">
        <w:rPr>
          <w:bCs/>
        </w:rPr>
        <w:t xml:space="preserve"> – количество полных месяцев (с округлением в меньшую сторону), в течение которых реализуется договор</w:t>
      </w:r>
    </w:p>
    <w:p w14:paraId="5B863F98" w14:textId="77777777" w:rsidR="00B06B6F" w:rsidRPr="00FC7951" w:rsidRDefault="00B06B6F" w:rsidP="00725F19">
      <w:pPr>
        <w:pStyle w:val="ac"/>
        <w:tabs>
          <w:tab w:val="left" w:pos="1134"/>
        </w:tabs>
        <w:spacing w:before="120" w:after="120"/>
        <w:ind w:left="0" w:firstLine="709"/>
        <w:rPr>
          <w:b/>
        </w:rPr>
      </w:pPr>
    </w:p>
    <w:p w14:paraId="4842984A" w14:textId="77777777" w:rsidR="00B06B6F" w:rsidRPr="00FC7951" w:rsidRDefault="00B06B6F" w:rsidP="00725F19">
      <w:pPr>
        <w:pStyle w:val="ac"/>
        <w:numPr>
          <w:ilvl w:val="1"/>
          <w:numId w:val="1"/>
        </w:numPr>
        <w:tabs>
          <w:tab w:val="left" w:pos="1134"/>
        </w:tabs>
        <w:spacing w:before="120" w:after="120"/>
        <w:ind w:left="0" w:firstLine="709"/>
        <w:rPr>
          <w:b/>
        </w:rPr>
      </w:pPr>
      <w:r w:rsidRPr="00FC7951">
        <w:rPr>
          <w:b/>
        </w:rPr>
        <w:t>Оценка соответствия участника минимальным качественным требованиям в рамках финансово-экономической экспертизы</w:t>
      </w:r>
    </w:p>
    <w:p w14:paraId="3DD92234"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Помимо обязательной справки о перечне и объемах выполнения аналогичных договоров, предоставляемой участ</w:t>
      </w:r>
      <w:r w:rsidR="00391929" w:rsidRPr="00791B2D">
        <w:rPr>
          <w:rFonts w:ascii="Times New Roman" w:hAnsi="Times New Roman" w:cs="Times New Roman"/>
          <w:sz w:val="24"/>
          <w:szCs w:val="24"/>
        </w:rPr>
        <w:t>никами (не применимо к закупкам</w:t>
      </w:r>
      <w:r w:rsidRPr="00791B2D">
        <w:rPr>
          <w:rFonts w:ascii="Times New Roman" w:hAnsi="Times New Roman" w:cs="Times New Roman"/>
          <w:sz w:val="24"/>
          <w:szCs w:val="24"/>
        </w:rPr>
        <w:t>),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участник имеет продолжительную историю существования, достаточную численность персонала и при этом его основной вид деятельности соответствует предмету закупки, в таком случае делается вывод о его потенциальной способности осуществить необходимую поставку или оказать услугу.</w:t>
      </w:r>
    </w:p>
    <w:p w14:paraId="4E01FE21"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Будучи формализована в численном выражении, оценка по критерию «срок существования участника»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14:paraId="3D7F1EA4"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 показателей в баллы по шкале от 0 до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3"/>
        <w:gridCol w:w="567"/>
        <w:gridCol w:w="567"/>
        <w:gridCol w:w="567"/>
        <w:gridCol w:w="567"/>
        <w:gridCol w:w="708"/>
        <w:gridCol w:w="567"/>
        <w:gridCol w:w="567"/>
        <w:gridCol w:w="567"/>
        <w:gridCol w:w="709"/>
        <w:gridCol w:w="1276"/>
      </w:tblGrid>
      <w:tr w:rsidR="00B06B6F" w:rsidRPr="00FC7951" w14:paraId="57A477B5" w14:textId="77777777" w:rsidTr="00791B2D">
        <w:trPr>
          <w:trHeight w:val="300"/>
        </w:trPr>
        <w:tc>
          <w:tcPr>
            <w:tcW w:w="1701" w:type="dxa"/>
            <w:shd w:val="clear" w:color="000000" w:fill="F2F2F2"/>
            <w:noWrap/>
            <w:vAlign w:val="bottom"/>
          </w:tcPr>
          <w:p w14:paraId="50C74D9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08F7CBA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993" w:type="dxa"/>
            <w:shd w:val="clear" w:color="000000" w:fill="F2F2F2"/>
            <w:noWrap/>
            <w:vAlign w:val="center"/>
          </w:tcPr>
          <w:p w14:paraId="254BC76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shd w:val="clear" w:color="000000" w:fill="F2F2F2"/>
            <w:noWrap/>
            <w:vAlign w:val="center"/>
          </w:tcPr>
          <w:p w14:paraId="672E04D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567" w:type="dxa"/>
            <w:shd w:val="clear" w:color="000000" w:fill="F2F2F2"/>
            <w:noWrap/>
            <w:vAlign w:val="center"/>
          </w:tcPr>
          <w:p w14:paraId="6B7DD7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567" w:type="dxa"/>
            <w:shd w:val="clear" w:color="000000" w:fill="F2F2F2"/>
            <w:noWrap/>
            <w:vAlign w:val="center"/>
          </w:tcPr>
          <w:p w14:paraId="55B8605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567" w:type="dxa"/>
            <w:shd w:val="clear" w:color="000000" w:fill="F2F2F2"/>
            <w:noWrap/>
            <w:vAlign w:val="center"/>
          </w:tcPr>
          <w:p w14:paraId="1D5591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shd w:val="clear" w:color="000000" w:fill="F2F2F2"/>
            <w:noWrap/>
            <w:vAlign w:val="center"/>
          </w:tcPr>
          <w:p w14:paraId="76C15A2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567" w:type="dxa"/>
            <w:shd w:val="clear" w:color="000000" w:fill="F2F2F2"/>
            <w:noWrap/>
            <w:vAlign w:val="center"/>
          </w:tcPr>
          <w:p w14:paraId="72AD7E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shd w:val="clear" w:color="000000" w:fill="F2F2F2"/>
            <w:noWrap/>
            <w:vAlign w:val="center"/>
          </w:tcPr>
          <w:p w14:paraId="04DA4AE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shd w:val="clear" w:color="000000" w:fill="F2F2F2"/>
            <w:noWrap/>
            <w:vAlign w:val="center"/>
          </w:tcPr>
          <w:p w14:paraId="4578D43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709" w:type="dxa"/>
            <w:shd w:val="clear" w:color="000000" w:fill="F2F2F2"/>
            <w:noWrap/>
            <w:vAlign w:val="center"/>
          </w:tcPr>
          <w:p w14:paraId="477125D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1276" w:type="dxa"/>
            <w:shd w:val="clear" w:color="000000" w:fill="F2F2F2"/>
            <w:noWrap/>
            <w:vAlign w:val="center"/>
          </w:tcPr>
          <w:p w14:paraId="5AC5218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773DFBD4" w14:textId="77777777" w:rsidTr="00791B2D">
        <w:trPr>
          <w:trHeight w:val="600"/>
        </w:trPr>
        <w:tc>
          <w:tcPr>
            <w:tcW w:w="1701" w:type="dxa"/>
            <w:shd w:val="clear" w:color="auto" w:fill="auto"/>
          </w:tcPr>
          <w:p w14:paraId="5B914D0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срок существования участника, лет</w:t>
            </w:r>
          </w:p>
        </w:tc>
        <w:tc>
          <w:tcPr>
            <w:tcW w:w="993" w:type="dxa"/>
            <w:shd w:val="clear" w:color="000000" w:fill="FFE5E5"/>
            <w:vAlign w:val="center"/>
          </w:tcPr>
          <w:p w14:paraId="704492B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1 года</w:t>
            </w:r>
          </w:p>
        </w:tc>
        <w:tc>
          <w:tcPr>
            <w:tcW w:w="567" w:type="dxa"/>
            <w:shd w:val="clear" w:color="000000" w:fill="FFE5E5"/>
            <w:noWrap/>
            <w:vAlign w:val="center"/>
          </w:tcPr>
          <w:p w14:paraId="11BDE8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w:t>
            </w:r>
          </w:p>
        </w:tc>
        <w:tc>
          <w:tcPr>
            <w:tcW w:w="567" w:type="dxa"/>
            <w:shd w:val="clear" w:color="000000" w:fill="FFE5E5"/>
            <w:noWrap/>
            <w:vAlign w:val="center"/>
          </w:tcPr>
          <w:p w14:paraId="3D9024B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1,8</w:t>
            </w:r>
          </w:p>
        </w:tc>
        <w:tc>
          <w:tcPr>
            <w:tcW w:w="567" w:type="dxa"/>
            <w:shd w:val="clear" w:color="000000" w:fill="FFE5E5"/>
            <w:noWrap/>
            <w:vAlign w:val="center"/>
          </w:tcPr>
          <w:p w14:paraId="5DDE88F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2,2</w:t>
            </w:r>
          </w:p>
        </w:tc>
        <w:tc>
          <w:tcPr>
            <w:tcW w:w="567" w:type="dxa"/>
            <w:shd w:val="clear" w:color="000000" w:fill="F8FFB9"/>
            <w:noWrap/>
            <w:vAlign w:val="center"/>
          </w:tcPr>
          <w:p w14:paraId="3D38E31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2,6</w:t>
            </w:r>
          </w:p>
        </w:tc>
        <w:tc>
          <w:tcPr>
            <w:tcW w:w="708" w:type="dxa"/>
            <w:shd w:val="clear" w:color="000000" w:fill="F8FFB9"/>
            <w:noWrap/>
            <w:vAlign w:val="center"/>
          </w:tcPr>
          <w:p w14:paraId="4A6DADA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567" w:type="dxa"/>
            <w:shd w:val="clear" w:color="000000" w:fill="C6FED1"/>
            <w:noWrap/>
            <w:vAlign w:val="center"/>
          </w:tcPr>
          <w:p w14:paraId="6CAB722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4,4</w:t>
            </w:r>
          </w:p>
        </w:tc>
        <w:tc>
          <w:tcPr>
            <w:tcW w:w="567" w:type="dxa"/>
            <w:shd w:val="clear" w:color="000000" w:fill="C6FED1"/>
            <w:noWrap/>
            <w:vAlign w:val="center"/>
          </w:tcPr>
          <w:p w14:paraId="0847FD0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5,8</w:t>
            </w:r>
          </w:p>
        </w:tc>
        <w:tc>
          <w:tcPr>
            <w:tcW w:w="567" w:type="dxa"/>
            <w:shd w:val="clear" w:color="000000" w:fill="C6FED1"/>
            <w:noWrap/>
            <w:vAlign w:val="center"/>
          </w:tcPr>
          <w:p w14:paraId="4CC266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7,2</w:t>
            </w:r>
          </w:p>
        </w:tc>
        <w:tc>
          <w:tcPr>
            <w:tcW w:w="709" w:type="dxa"/>
            <w:shd w:val="clear" w:color="000000" w:fill="C6FED1"/>
            <w:noWrap/>
            <w:vAlign w:val="center"/>
          </w:tcPr>
          <w:p w14:paraId="58D6E9D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8,6</w:t>
            </w:r>
          </w:p>
        </w:tc>
        <w:tc>
          <w:tcPr>
            <w:tcW w:w="1276" w:type="dxa"/>
            <w:shd w:val="clear" w:color="000000" w:fill="C6FED1"/>
            <w:vAlign w:val="center"/>
          </w:tcPr>
          <w:p w14:paraId="47D5FC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10 лет</w:t>
            </w:r>
          </w:p>
        </w:tc>
      </w:tr>
    </w:tbl>
    <w:p w14:paraId="1FF2E1A3" w14:textId="77777777" w:rsidR="00B06B6F" w:rsidRPr="00FC7951" w:rsidRDefault="00B06B6F" w:rsidP="00725F19">
      <w:pPr>
        <w:pStyle w:val="ac"/>
        <w:spacing w:before="120" w:after="120"/>
        <w:ind w:left="0"/>
        <w:rPr>
          <w:b/>
        </w:rPr>
      </w:pPr>
    </w:p>
    <w:p w14:paraId="43C6FA2A" w14:textId="77777777" w:rsidR="00B06B6F" w:rsidRPr="00791B2D" w:rsidRDefault="00B06B6F" w:rsidP="00725F19">
      <w:pPr>
        <w:pStyle w:val="ac"/>
        <w:numPr>
          <w:ilvl w:val="1"/>
          <w:numId w:val="1"/>
        </w:numPr>
        <w:tabs>
          <w:tab w:val="left" w:pos="1134"/>
        </w:tabs>
        <w:spacing w:before="120" w:after="120"/>
        <w:ind w:left="0" w:firstLine="709"/>
        <w:rPr>
          <w:b/>
        </w:rPr>
      </w:pPr>
      <w:r w:rsidRPr="00791B2D">
        <w:rPr>
          <w:b/>
        </w:rPr>
        <w:t>Финансовые условия сделки</w:t>
      </w:r>
    </w:p>
    <w:p w14:paraId="4377EFD4"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независимой гарантией соответствует наибольшему риску.</w:t>
      </w:r>
    </w:p>
    <w:p w14:paraId="6B38784C"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оцениваемого участника. Чем меньше величина аванса в масштабах деятельности оцениваемого участника,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14:paraId="706BE51B"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В тех случаях, когда отдельными внутренними нормативными документами Общества устанавливаются ограничения на принимаемые независимые гарантии в части указания перечня гарантов, суммы и сроков гарантий, Эксперт по направлению финансово-экономической экспертизы проводит оценку соответствия предлагаемой независимой гарантии требованиям указанного внутреннего нормативного документа. А в случае отсутствия на этапе закупочной процедуры информации по независимой гарантии, дает рекомендации по соблюдению требований соответствующего ВНД в составе экспертного заключения.</w:t>
      </w:r>
    </w:p>
    <w:p w14:paraId="7641336B" w14:textId="77777777" w:rsidR="00B06B6F" w:rsidRPr="00FC7951" w:rsidRDefault="00B06B6F" w:rsidP="00725F19">
      <w:pPr>
        <w:spacing w:before="120"/>
        <w:jc w:val="right"/>
        <w:rPr>
          <w:rFonts w:ascii="Times New Roman" w:hAnsi="Times New Roman" w:cs="Times New Roman"/>
        </w:rPr>
      </w:pPr>
      <w:r w:rsidRPr="00FC7951">
        <w:rPr>
          <w:rFonts w:ascii="Times New Roman" w:hAnsi="Times New Roman" w:cs="Times New Roman"/>
        </w:rPr>
        <w:t>Таблица Оценка финансовых условий сделки</w:t>
      </w:r>
    </w:p>
    <w:tbl>
      <w:tblPr>
        <w:tblW w:w="9356" w:type="dxa"/>
        <w:tblInd w:w="-10" w:type="dxa"/>
        <w:tblLook w:val="04A0" w:firstRow="1" w:lastRow="0" w:firstColumn="1" w:lastColumn="0" w:noHBand="0" w:noVBand="1"/>
      </w:tblPr>
      <w:tblGrid>
        <w:gridCol w:w="1714"/>
        <w:gridCol w:w="851"/>
        <w:gridCol w:w="636"/>
        <w:gridCol w:w="636"/>
        <w:gridCol w:w="636"/>
        <w:gridCol w:w="636"/>
        <w:gridCol w:w="636"/>
        <w:gridCol w:w="688"/>
        <w:gridCol w:w="636"/>
        <w:gridCol w:w="705"/>
        <w:gridCol w:w="816"/>
        <w:gridCol w:w="766"/>
      </w:tblGrid>
      <w:tr w:rsidR="00B06B6F" w:rsidRPr="00FC7951" w14:paraId="52B7F477" w14:textId="77777777" w:rsidTr="00791B2D">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E5E7E6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 при отсутствии аванса</w:t>
            </w:r>
          </w:p>
        </w:tc>
        <w:tc>
          <w:tcPr>
            <w:tcW w:w="7336" w:type="dxa"/>
            <w:gridSpan w:val="11"/>
            <w:tcBorders>
              <w:top w:val="single" w:sz="8" w:space="0" w:color="auto"/>
              <w:left w:val="nil"/>
              <w:bottom w:val="single" w:sz="8" w:space="0" w:color="auto"/>
              <w:right w:val="single" w:sz="8" w:space="0" w:color="auto"/>
            </w:tcBorders>
            <w:shd w:val="clear" w:color="000000" w:fill="C6FED1"/>
            <w:noWrap/>
            <w:vAlign w:val="center"/>
            <w:hideMark/>
          </w:tcPr>
          <w:p w14:paraId="4A23992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r>
      <w:tr w:rsidR="00B06B6F" w:rsidRPr="00FC7951" w14:paraId="4FA15C4A" w14:textId="77777777" w:rsidTr="00791B2D">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762A5E0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Оценка при полном покрытии аванса </w:t>
            </w:r>
            <w:r w:rsidRPr="00FC7951">
              <w:rPr>
                <w:rFonts w:ascii="Times New Roman" w:hAnsi="Times New Roman" w:cs="Times New Roman"/>
              </w:rPr>
              <w:t>независимой</w:t>
            </w:r>
            <w:r w:rsidRPr="00FC7951">
              <w:rPr>
                <w:rFonts w:ascii="Times New Roman" w:hAnsi="Times New Roman" w:cs="Times New Roman"/>
                <w:color w:val="000000"/>
              </w:rPr>
              <w:t xml:space="preserve">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14:paraId="526558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14:paraId="14FA740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14:paraId="6742A88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14:paraId="034932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14:paraId="2A1A3D0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14:paraId="4BA35B8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14:paraId="54FC41A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14:paraId="6C6FB98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14:paraId="152D2E5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14:paraId="0156647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0,94</w:t>
            </w:r>
          </w:p>
        </w:tc>
        <w:tc>
          <w:tcPr>
            <w:tcW w:w="460" w:type="dxa"/>
            <w:tcBorders>
              <w:top w:val="nil"/>
              <w:left w:val="nil"/>
              <w:bottom w:val="single" w:sz="8" w:space="0" w:color="auto"/>
              <w:right w:val="single" w:sz="8" w:space="0" w:color="auto"/>
            </w:tcBorders>
            <w:shd w:val="clear" w:color="000000" w:fill="C6FED1"/>
            <w:noWrap/>
            <w:vAlign w:val="center"/>
            <w:hideMark/>
          </w:tcPr>
          <w:p w14:paraId="6A58116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r>
      <w:tr w:rsidR="00B06B6F" w:rsidRPr="00FC7951" w14:paraId="6D26A5E4" w14:textId="77777777" w:rsidTr="00791B2D">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7C5E521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Оценка при выплате аванса без покрытия </w:t>
            </w:r>
            <w:r w:rsidRPr="00FC7951">
              <w:rPr>
                <w:rFonts w:ascii="Times New Roman" w:hAnsi="Times New Roman" w:cs="Times New Roman"/>
              </w:rPr>
              <w:t>независимой</w:t>
            </w:r>
            <w:r w:rsidRPr="00FC7951">
              <w:rPr>
                <w:rFonts w:ascii="Times New Roman" w:hAnsi="Times New Roman" w:cs="Times New Roman"/>
                <w:color w:val="000000"/>
              </w:rPr>
              <w:t xml:space="preserve">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14:paraId="497FC93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w:t>
            </w:r>
          </w:p>
        </w:tc>
        <w:tc>
          <w:tcPr>
            <w:tcW w:w="636" w:type="dxa"/>
            <w:tcBorders>
              <w:top w:val="nil"/>
              <w:left w:val="nil"/>
              <w:bottom w:val="single" w:sz="8" w:space="0" w:color="auto"/>
              <w:right w:val="single" w:sz="8" w:space="0" w:color="auto"/>
            </w:tcBorders>
            <w:shd w:val="clear" w:color="000000" w:fill="FFE5E5"/>
            <w:noWrap/>
            <w:vAlign w:val="center"/>
            <w:hideMark/>
          </w:tcPr>
          <w:p w14:paraId="465832A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636" w:type="dxa"/>
            <w:tcBorders>
              <w:top w:val="nil"/>
              <w:left w:val="nil"/>
              <w:bottom w:val="single" w:sz="8" w:space="0" w:color="auto"/>
              <w:right w:val="single" w:sz="8" w:space="0" w:color="auto"/>
            </w:tcBorders>
            <w:shd w:val="clear" w:color="000000" w:fill="FFE5E5"/>
            <w:noWrap/>
            <w:vAlign w:val="center"/>
            <w:hideMark/>
          </w:tcPr>
          <w:p w14:paraId="409C166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0,14</w:t>
            </w:r>
          </w:p>
        </w:tc>
        <w:tc>
          <w:tcPr>
            <w:tcW w:w="636" w:type="dxa"/>
            <w:tcBorders>
              <w:top w:val="nil"/>
              <w:left w:val="nil"/>
              <w:bottom w:val="single" w:sz="8" w:space="0" w:color="auto"/>
              <w:right w:val="single" w:sz="8" w:space="0" w:color="auto"/>
            </w:tcBorders>
            <w:shd w:val="clear" w:color="000000" w:fill="FFE5E5"/>
            <w:noWrap/>
            <w:vAlign w:val="center"/>
            <w:hideMark/>
          </w:tcPr>
          <w:p w14:paraId="3F14FA5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0,21</w:t>
            </w:r>
          </w:p>
        </w:tc>
        <w:tc>
          <w:tcPr>
            <w:tcW w:w="636" w:type="dxa"/>
            <w:tcBorders>
              <w:top w:val="nil"/>
              <w:left w:val="nil"/>
              <w:bottom w:val="single" w:sz="8" w:space="0" w:color="auto"/>
              <w:right w:val="single" w:sz="8" w:space="0" w:color="auto"/>
            </w:tcBorders>
            <w:shd w:val="clear" w:color="000000" w:fill="FFE5E5"/>
            <w:noWrap/>
            <w:vAlign w:val="center"/>
            <w:hideMark/>
          </w:tcPr>
          <w:p w14:paraId="22D48B9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0,28</w:t>
            </w:r>
          </w:p>
        </w:tc>
        <w:tc>
          <w:tcPr>
            <w:tcW w:w="636" w:type="dxa"/>
            <w:tcBorders>
              <w:top w:val="nil"/>
              <w:left w:val="nil"/>
              <w:bottom w:val="single" w:sz="8" w:space="0" w:color="auto"/>
              <w:right w:val="single" w:sz="8" w:space="0" w:color="auto"/>
            </w:tcBorders>
            <w:shd w:val="clear" w:color="000000" w:fill="FFE5E5"/>
            <w:noWrap/>
            <w:vAlign w:val="center"/>
            <w:hideMark/>
          </w:tcPr>
          <w:p w14:paraId="4EFAD06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14:paraId="0718F48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0,42</w:t>
            </w:r>
          </w:p>
        </w:tc>
        <w:tc>
          <w:tcPr>
            <w:tcW w:w="636" w:type="dxa"/>
            <w:tcBorders>
              <w:top w:val="nil"/>
              <w:left w:val="nil"/>
              <w:bottom w:val="single" w:sz="8" w:space="0" w:color="auto"/>
              <w:right w:val="single" w:sz="8" w:space="0" w:color="auto"/>
            </w:tcBorders>
            <w:shd w:val="clear" w:color="000000" w:fill="F8FFB9"/>
            <w:noWrap/>
            <w:vAlign w:val="center"/>
            <w:hideMark/>
          </w:tcPr>
          <w:p w14:paraId="6368B57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14:paraId="4307078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14:paraId="7FB78ED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0,63</w:t>
            </w:r>
          </w:p>
        </w:tc>
        <w:tc>
          <w:tcPr>
            <w:tcW w:w="460" w:type="dxa"/>
            <w:tcBorders>
              <w:top w:val="nil"/>
              <w:left w:val="nil"/>
              <w:bottom w:val="single" w:sz="8" w:space="0" w:color="auto"/>
              <w:right w:val="single" w:sz="8" w:space="0" w:color="auto"/>
            </w:tcBorders>
            <w:shd w:val="clear" w:color="000000" w:fill="C6FED1"/>
            <w:noWrap/>
            <w:vAlign w:val="center"/>
            <w:hideMark/>
          </w:tcPr>
          <w:p w14:paraId="3FEFCA0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r>
      <w:tr w:rsidR="00B06B6F" w:rsidRPr="00FC7951" w14:paraId="0895342A" w14:textId="77777777" w:rsidTr="00791B2D">
        <w:trPr>
          <w:trHeight w:val="525"/>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EB707D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14:paraId="4EB5F38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 и более</w:t>
            </w:r>
          </w:p>
        </w:tc>
        <w:tc>
          <w:tcPr>
            <w:tcW w:w="636" w:type="dxa"/>
            <w:tcBorders>
              <w:top w:val="nil"/>
              <w:left w:val="nil"/>
              <w:bottom w:val="single" w:sz="8" w:space="0" w:color="auto"/>
              <w:right w:val="single" w:sz="8" w:space="0" w:color="auto"/>
            </w:tcBorders>
            <w:shd w:val="clear" w:color="auto" w:fill="auto"/>
            <w:noWrap/>
            <w:vAlign w:val="center"/>
            <w:hideMark/>
          </w:tcPr>
          <w:p w14:paraId="354BF26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636" w:type="dxa"/>
            <w:tcBorders>
              <w:top w:val="nil"/>
              <w:left w:val="nil"/>
              <w:bottom w:val="single" w:sz="8" w:space="0" w:color="auto"/>
              <w:right w:val="single" w:sz="8" w:space="0" w:color="auto"/>
            </w:tcBorders>
            <w:shd w:val="clear" w:color="auto" w:fill="auto"/>
            <w:noWrap/>
            <w:vAlign w:val="center"/>
            <w:hideMark/>
          </w:tcPr>
          <w:p w14:paraId="3D9E74D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0,5</w:t>
            </w:r>
          </w:p>
        </w:tc>
        <w:tc>
          <w:tcPr>
            <w:tcW w:w="636" w:type="dxa"/>
            <w:tcBorders>
              <w:top w:val="nil"/>
              <w:left w:val="nil"/>
              <w:bottom w:val="single" w:sz="8" w:space="0" w:color="auto"/>
              <w:right w:val="single" w:sz="8" w:space="0" w:color="auto"/>
            </w:tcBorders>
            <w:shd w:val="clear" w:color="auto" w:fill="auto"/>
            <w:noWrap/>
            <w:vAlign w:val="center"/>
            <w:hideMark/>
          </w:tcPr>
          <w:p w14:paraId="02F625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w:t>
            </w:r>
          </w:p>
        </w:tc>
        <w:tc>
          <w:tcPr>
            <w:tcW w:w="636" w:type="dxa"/>
            <w:tcBorders>
              <w:top w:val="nil"/>
              <w:left w:val="nil"/>
              <w:bottom w:val="single" w:sz="8" w:space="0" w:color="auto"/>
              <w:right w:val="single" w:sz="8" w:space="0" w:color="auto"/>
            </w:tcBorders>
            <w:shd w:val="clear" w:color="auto" w:fill="auto"/>
            <w:noWrap/>
            <w:vAlign w:val="center"/>
            <w:hideMark/>
          </w:tcPr>
          <w:p w14:paraId="3800798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w:t>
            </w:r>
          </w:p>
        </w:tc>
        <w:tc>
          <w:tcPr>
            <w:tcW w:w="636" w:type="dxa"/>
            <w:tcBorders>
              <w:top w:val="nil"/>
              <w:left w:val="nil"/>
              <w:bottom w:val="single" w:sz="8" w:space="0" w:color="auto"/>
              <w:right w:val="single" w:sz="8" w:space="0" w:color="auto"/>
            </w:tcBorders>
            <w:shd w:val="clear" w:color="auto" w:fill="auto"/>
            <w:noWrap/>
            <w:vAlign w:val="center"/>
            <w:hideMark/>
          </w:tcPr>
          <w:p w14:paraId="0542B8A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14:paraId="6BB317F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0,16</w:t>
            </w:r>
          </w:p>
        </w:tc>
        <w:tc>
          <w:tcPr>
            <w:tcW w:w="636" w:type="dxa"/>
            <w:tcBorders>
              <w:top w:val="nil"/>
              <w:left w:val="nil"/>
              <w:bottom w:val="single" w:sz="8" w:space="0" w:color="auto"/>
              <w:right w:val="single" w:sz="8" w:space="0" w:color="auto"/>
            </w:tcBorders>
            <w:shd w:val="clear" w:color="auto" w:fill="auto"/>
            <w:noWrap/>
            <w:vAlign w:val="center"/>
            <w:hideMark/>
          </w:tcPr>
          <w:p w14:paraId="50AB40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14:paraId="54C85D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14:paraId="25BD8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w:t>
            </w:r>
          </w:p>
        </w:tc>
        <w:tc>
          <w:tcPr>
            <w:tcW w:w="460" w:type="dxa"/>
            <w:tcBorders>
              <w:top w:val="nil"/>
              <w:left w:val="nil"/>
              <w:bottom w:val="single" w:sz="8" w:space="0" w:color="auto"/>
              <w:right w:val="single" w:sz="8" w:space="0" w:color="auto"/>
            </w:tcBorders>
            <w:shd w:val="clear" w:color="auto" w:fill="auto"/>
            <w:vAlign w:val="center"/>
            <w:hideMark/>
          </w:tcPr>
          <w:p w14:paraId="73290AE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0.025 и менее</w:t>
            </w:r>
          </w:p>
        </w:tc>
      </w:tr>
      <w:tr w:rsidR="00B06B6F" w:rsidRPr="00FC7951" w14:paraId="013D40D8" w14:textId="77777777" w:rsidTr="00791B2D">
        <w:trPr>
          <w:trHeight w:val="525"/>
        </w:trPr>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EFEF1B8"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Величина аванса / Активы</w:t>
            </w:r>
          </w:p>
        </w:tc>
        <w:tc>
          <w:tcPr>
            <w:tcW w:w="851" w:type="dxa"/>
            <w:tcBorders>
              <w:top w:val="single" w:sz="8" w:space="0" w:color="auto"/>
              <w:left w:val="nil"/>
              <w:bottom w:val="single" w:sz="4" w:space="0" w:color="auto"/>
              <w:right w:val="single" w:sz="8" w:space="0" w:color="auto"/>
            </w:tcBorders>
            <w:shd w:val="clear" w:color="auto" w:fill="auto"/>
            <w:vAlign w:val="center"/>
            <w:hideMark/>
          </w:tcPr>
          <w:p w14:paraId="758BFE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 и более</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16A0189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16DD31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3ED02FD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0,8</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53C89C3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521E5BB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0,46</w:t>
            </w:r>
          </w:p>
        </w:tc>
        <w:tc>
          <w:tcPr>
            <w:tcW w:w="688" w:type="dxa"/>
            <w:tcBorders>
              <w:top w:val="single" w:sz="8" w:space="0" w:color="auto"/>
              <w:left w:val="nil"/>
              <w:bottom w:val="single" w:sz="4" w:space="0" w:color="auto"/>
              <w:right w:val="single" w:sz="8" w:space="0" w:color="auto"/>
            </w:tcBorders>
            <w:shd w:val="clear" w:color="auto" w:fill="auto"/>
            <w:noWrap/>
            <w:vAlign w:val="center"/>
            <w:hideMark/>
          </w:tcPr>
          <w:p w14:paraId="71B0BAD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0,33</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FBC72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0D1329B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0,15</w:t>
            </w:r>
          </w:p>
        </w:tc>
        <w:tc>
          <w:tcPr>
            <w:tcW w:w="816" w:type="dxa"/>
            <w:tcBorders>
              <w:top w:val="single" w:sz="8" w:space="0" w:color="auto"/>
              <w:left w:val="nil"/>
              <w:bottom w:val="single" w:sz="4" w:space="0" w:color="auto"/>
              <w:right w:val="single" w:sz="8" w:space="0" w:color="auto"/>
            </w:tcBorders>
            <w:shd w:val="clear" w:color="auto" w:fill="auto"/>
            <w:noWrap/>
            <w:vAlign w:val="center"/>
            <w:hideMark/>
          </w:tcPr>
          <w:p w14:paraId="3333F41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460" w:type="dxa"/>
            <w:tcBorders>
              <w:top w:val="single" w:sz="8" w:space="0" w:color="auto"/>
              <w:left w:val="nil"/>
              <w:bottom w:val="single" w:sz="4" w:space="0" w:color="auto"/>
              <w:right w:val="single" w:sz="8" w:space="0" w:color="auto"/>
            </w:tcBorders>
            <w:shd w:val="clear" w:color="auto" w:fill="auto"/>
            <w:vAlign w:val="center"/>
            <w:hideMark/>
          </w:tcPr>
          <w:p w14:paraId="6B2839C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 и менее</w:t>
            </w:r>
          </w:p>
        </w:tc>
      </w:tr>
    </w:tbl>
    <w:p w14:paraId="25ED3EC4" w14:textId="77777777" w:rsidR="00B06B6F" w:rsidRPr="00FC7951" w:rsidRDefault="00B06B6F" w:rsidP="00725F19">
      <w:pPr>
        <w:rPr>
          <w:rFonts w:ascii="Times New Roman" w:hAnsi="Times New Roman" w:cs="Times New Roman"/>
        </w:rPr>
      </w:pPr>
    </w:p>
    <w:p w14:paraId="198DA3B2" w14:textId="77777777" w:rsidR="00B06B6F" w:rsidRPr="00791B2D" w:rsidRDefault="00B06B6F" w:rsidP="00725F19">
      <w:pPr>
        <w:pStyle w:val="1"/>
        <w:tabs>
          <w:tab w:val="clear" w:pos="1353"/>
          <w:tab w:val="left" w:pos="1134"/>
          <w:tab w:val="num" w:pos="1418"/>
        </w:tabs>
        <w:ind w:left="0" w:firstLine="709"/>
      </w:pPr>
      <w:bookmarkStart w:id="23" w:name="_Toc107244335"/>
      <w:bookmarkStart w:id="24" w:name="_Toc107247774"/>
      <w:r w:rsidRPr="00791B2D">
        <w:t>ВЕСОВЫЕ КОЭФФИЦИЕНТЫ И ФОРМИРОВАНИЕ ПЕРВИЧНОЙ ОЦЕНКИ</w:t>
      </w:r>
      <w:bookmarkEnd w:id="23"/>
      <w:bookmarkEnd w:id="24"/>
    </w:p>
    <w:p w14:paraId="69CDB55F"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(при наличии таких данных): предпоследний и последний завершенные финансовые годы, а </w:t>
      </w:r>
      <w:r w:rsidRPr="00791B2D">
        <w:lastRenderedPageBreak/>
        <w:t>также последняя отчетная дата незавершенного финансового года* (в случае если предоставление документов не противоречит действующему Законодательству). Предоставленная участником в рамках закупочной процедуры, в том числе по закупкам, участниками которых могут быть только субъекты МСП, подписанная и заверенная печатью промежуточная бухгалтерская отчетность (по состоянию на 31.03, 30.06, 30.09 текущего года) используется экспертом при оценке финансового состояния в качестве бухгалтерской отчетности на последнюю отчетную дату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14:paraId="13B3ED92"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Весовые коэффициенты отчетных дат</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260"/>
        <w:gridCol w:w="3119"/>
      </w:tblGrid>
      <w:tr w:rsidR="00B06B6F" w:rsidRPr="00FC7951" w14:paraId="05B27DDB" w14:textId="77777777" w:rsidTr="00791B2D">
        <w:trPr>
          <w:trHeight w:val="300"/>
        </w:trPr>
        <w:tc>
          <w:tcPr>
            <w:tcW w:w="2977" w:type="dxa"/>
            <w:shd w:val="clear" w:color="000000" w:fill="F2F2F2"/>
            <w:noWrap/>
            <w:vAlign w:val="center"/>
          </w:tcPr>
          <w:p w14:paraId="78ADB2F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Предпоследний завершенный финансовый год</w:t>
            </w:r>
          </w:p>
        </w:tc>
        <w:tc>
          <w:tcPr>
            <w:tcW w:w="3260" w:type="dxa"/>
            <w:shd w:val="clear" w:color="000000" w:fill="F2F2F2"/>
            <w:noWrap/>
            <w:vAlign w:val="center"/>
          </w:tcPr>
          <w:p w14:paraId="3AB849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Последний завершенный финансовый год</w:t>
            </w:r>
          </w:p>
        </w:tc>
        <w:tc>
          <w:tcPr>
            <w:tcW w:w="3119" w:type="dxa"/>
            <w:shd w:val="clear" w:color="000000" w:fill="F2F2F2"/>
            <w:noWrap/>
            <w:vAlign w:val="center"/>
          </w:tcPr>
          <w:p w14:paraId="4ADC6F9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Последняя отчетная дата незавершенного финансового года*</w:t>
            </w:r>
          </w:p>
        </w:tc>
      </w:tr>
      <w:tr w:rsidR="00B06B6F" w:rsidRPr="00FC7951" w14:paraId="6E99B786" w14:textId="77777777" w:rsidTr="00791B2D">
        <w:trPr>
          <w:trHeight w:val="300"/>
        </w:trPr>
        <w:tc>
          <w:tcPr>
            <w:tcW w:w="2977" w:type="dxa"/>
            <w:shd w:val="clear" w:color="auto" w:fill="auto"/>
            <w:noWrap/>
            <w:vAlign w:val="center"/>
          </w:tcPr>
          <w:p w14:paraId="2B92E7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25%</w:t>
            </w:r>
          </w:p>
        </w:tc>
        <w:tc>
          <w:tcPr>
            <w:tcW w:w="3260" w:type="dxa"/>
            <w:shd w:val="clear" w:color="auto" w:fill="auto"/>
            <w:noWrap/>
            <w:vAlign w:val="center"/>
          </w:tcPr>
          <w:p w14:paraId="3DBFEC9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50%</w:t>
            </w:r>
          </w:p>
        </w:tc>
        <w:tc>
          <w:tcPr>
            <w:tcW w:w="3119" w:type="dxa"/>
            <w:shd w:val="clear" w:color="auto" w:fill="auto"/>
            <w:noWrap/>
            <w:vAlign w:val="center"/>
          </w:tcPr>
          <w:p w14:paraId="06E3DCC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25%</w:t>
            </w:r>
          </w:p>
        </w:tc>
      </w:tr>
      <w:tr w:rsidR="00B06B6F" w:rsidRPr="00FC7951" w14:paraId="44B619F5" w14:textId="77777777" w:rsidTr="00791B2D">
        <w:trPr>
          <w:trHeight w:val="300"/>
        </w:trPr>
        <w:tc>
          <w:tcPr>
            <w:tcW w:w="2977" w:type="dxa"/>
            <w:shd w:val="clear" w:color="auto" w:fill="auto"/>
            <w:noWrap/>
            <w:vAlign w:val="center"/>
          </w:tcPr>
          <w:p w14:paraId="1A228BD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33,3%</w:t>
            </w:r>
          </w:p>
        </w:tc>
        <w:tc>
          <w:tcPr>
            <w:tcW w:w="3260" w:type="dxa"/>
            <w:shd w:val="clear" w:color="auto" w:fill="auto"/>
            <w:noWrap/>
            <w:vAlign w:val="center"/>
          </w:tcPr>
          <w:p w14:paraId="3A5B69D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66,7%</w:t>
            </w:r>
          </w:p>
        </w:tc>
        <w:tc>
          <w:tcPr>
            <w:tcW w:w="3119" w:type="dxa"/>
            <w:shd w:val="clear" w:color="000000" w:fill="FFE5E5"/>
            <w:noWrap/>
            <w:vAlign w:val="center"/>
          </w:tcPr>
          <w:p w14:paraId="5FF7E91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r>
      <w:tr w:rsidR="00B06B6F" w:rsidRPr="00FC7951" w14:paraId="71F2FF40" w14:textId="77777777" w:rsidTr="00791B2D">
        <w:trPr>
          <w:trHeight w:val="300"/>
        </w:trPr>
        <w:tc>
          <w:tcPr>
            <w:tcW w:w="2977" w:type="dxa"/>
            <w:shd w:val="clear" w:color="000000" w:fill="FFE5E5"/>
            <w:noWrap/>
            <w:vAlign w:val="center"/>
          </w:tcPr>
          <w:p w14:paraId="190E96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260" w:type="dxa"/>
            <w:shd w:val="clear" w:color="auto" w:fill="auto"/>
            <w:noWrap/>
            <w:vAlign w:val="center"/>
          </w:tcPr>
          <w:p w14:paraId="5FAFDBA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66,7%</w:t>
            </w:r>
          </w:p>
        </w:tc>
        <w:tc>
          <w:tcPr>
            <w:tcW w:w="3119" w:type="dxa"/>
            <w:shd w:val="clear" w:color="auto" w:fill="auto"/>
            <w:noWrap/>
            <w:vAlign w:val="center"/>
          </w:tcPr>
          <w:p w14:paraId="788A6F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33,3%</w:t>
            </w:r>
          </w:p>
        </w:tc>
      </w:tr>
      <w:tr w:rsidR="00B06B6F" w:rsidRPr="00FC7951" w14:paraId="4756B0FB" w14:textId="77777777" w:rsidTr="00791B2D">
        <w:trPr>
          <w:trHeight w:val="300"/>
        </w:trPr>
        <w:tc>
          <w:tcPr>
            <w:tcW w:w="2977" w:type="dxa"/>
            <w:shd w:val="clear" w:color="000000" w:fill="FFE5E5"/>
            <w:noWrap/>
            <w:vAlign w:val="center"/>
          </w:tcPr>
          <w:p w14:paraId="1237257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260" w:type="dxa"/>
            <w:shd w:val="clear" w:color="000000" w:fill="FFE5E5"/>
            <w:noWrap/>
            <w:vAlign w:val="center"/>
          </w:tcPr>
          <w:p w14:paraId="68A56A1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119" w:type="dxa"/>
            <w:shd w:val="clear" w:color="auto" w:fill="auto"/>
            <w:noWrap/>
            <w:vAlign w:val="center"/>
          </w:tcPr>
          <w:p w14:paraId="2CE4247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100%</w:t>
            </w:r>
          </w:p>
        </w:tc>
      </w:tr>
    </w:tbl>
    <w:p w14:paraId="63D07448" w14:textId="77777777" w:rsidR="00B06B6F" w:rsidRPr="00FC7951" w:rsidRDefault="00B06B6F" w:rsidP="00725F19">
      <w:pPr>
        <w:spacing w:before="120" w:after="120"/>
        <w:jc w:val="both"/>
        <w:rPr>
          <w:rFonts w:ascii="Times New Roman" w:hAnsi="Times New Roman" w:cs="Times New Roman"/>
          <w:i/>
        </w:rPr>
      </w:pPr>
      <w:r w:rsidRPr="00FC7951">
        <w:rPr>
          <w:rFonts w:ascii="Times New Roman" w:hAnsi="Times New Roman" w:cs="Times New Roman"/>
          <w:i/>
        </w:rPr>
        <w:t>*</w:t>
      </w:r>
      <w:r w:rsidRPr="00791B2D">
        <w:rPr>
          <w:rFonts w:ascii="Times New Roman" w:hAnsi="Times New Roman" w:cs="Times New Roman"/>
          <w:i/>
          <w:sz w:val="24"/>
          <w:szCs w:val="24"/>
        </w:rPr>
        <w:t>учитывая, что составление промежуточной (по состоянию на 31.03, 30.06, 30.09 текущего года)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 / проведенной реорганизации.</w:t>
      </w:r>
    </w:p>
    <w:p w14:paraId="4F09EBF6" w14:textId="77777777" w:rsidR="00B06B6F" w:rsidRPr="00791B2D" w:rsidRDefault="00B06B6F" w:rsidP="00725F19">
      <w:pPr>
        <w:pStyle w:val="ac"/>
        <w:numPr>
          <w:ilvl w:val="1"/>
          <w:numId w:val="1"/>
        </w:numPr>
        <w:tabs>
          <w:tab w:val="left" w:pos="1134"/>
        </w:tabs>
        <w:spacing w:before="120" w:after="120"/>
        <w:ind w:left="0" w:firstLine="709"/>
        <w:jc w:val="both"/>
      </w:pPr>
      <w:r w:rsidRPr="00791B2D">
        <w:t>Допускается корректировка весовых коэффициентов отчетных дат по причине недостаточно продолжительной истории существования / проведенной реорганизации участника закупочной процедуры, а такж</w:t>
      </w:r>
      <w:r w:rsidR="00391929" w:rsidRPr="00791B2D">
        <w:t>е в случаях проведения закупок</w:t>
      </w:r>
      <w:r w:rsidRPr="00791B2D">
        <w:t>, когда данные за прошедшие финансовые года отсутствуют (для закупок среди субъектов МСП - в том числе в информационно-аналитических системах «ГИР БО», «</w:t>
      </w:r>
      <w:proofErr w:type="spellStart"/>
      <w:r w:rsidRPr="00791B2D">
        <w:t>Спарк</w:t>
      </w:r>
      <w:proofErr w:type="spellEnd"/>
      <w:r w:rsidRPr="00791B2D">
        <w:t>-Интерфакс» и др.), как это указано в строках 3 и 4 Таблицы Весовые коэффициенты отчетных дат.</w:t>
      </w:r>
    </w:p>
    <w:p w14:paraId="4AAE153B"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 В случае отсутствия данных бухгалтерской отчетности за какой-либо завершенный финансовый год (в случае если предоставление документа не противоречит действующему Законодательству) из указанных в таблице по причине не предоставления участником закупочной процедуры или другим причинам, отличным от описанных в п. 9.2. и при отсутствии указанной информации в других источниках (например, ГИР БО,  </w:t>
      </w:r>
      <w:proofErr w:type="spellStart"/>
      <w:r w:rsidRPr="00791B2D">
        <w:t>Спарк</w:t>
      </w:r>
      <w:proofErr w:type="spellEnd"/>
      <w:r w:rsidRPr="00791B2D">
        <w:t>-Интерфакс и др.),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14:paraId="1371629C" w14:textId="77777777" w:rsidR="00B06B6F" w:rsidRPr="00FC7951" w:rsidRDefault="00B06B6F" w:rsidP="00725F19">
      <w:pPr>
        <w:pStyle w:val="ac"/>
        <w:numPr>
          <w:ilvl w:val="1"/>
          <w:numId w:val="1"/>
        </w:numPr>
        <w:tabs>
          <w:tab w:val="left" w:pos="1134"/>
        </w:tabs>
        <w:spacing w:before="120" w:after="120"/>
        <w:ind w:left="0" w:firstLine="709"/>
        <w:jc w:val="both"/>
      </w:pPr>
      <w:r w:rsidRPr="00791B2D">
        <w:t>Участник закупочной процедуры, не предоставивший бухгалтерскую отчетность (в случае если предоставление документа не противоречит действующему Законодательству), в том числе после осуществления дополнительного запроса с учетом</w:t>
      </w:r>
      <w:r w:rsidRPr="00FC7951">
        <w:t xml:space="preserve"> </w:t>
      </w:r>
      <w:r w:rsidRPr="00FC7951">
        <w:lastRenderedPageBreak/>
        <w:t>ограничений, установленных в ВНД, указанных в разделе 12 Методики, ни на одну из указанных отчетных дат, должен быть отклонен на отборочной стадии.</w:t>
      </w:r>
    </w:p>
    <w:p w14:paraId="7FE0BCE8"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w:t>
      </w:r>
      <w:proofErr w:type="spellStart"/>
      <w:r w:rsidRPr="00FC7951">
        <w:t>балльно</w:t>
      </w:r>
      <w:proofErr w:type="spellEnd"/>
      <w:r w:rsidRPr="00FC7951">
        <w:t>-весового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14:paraId="6BBBFFFF" w14:textId="77777777" w:rsidR="00B06B6F" w:rsidRPr="00FC7951" w:rsidRDefault="00B06B6F" w:rsidP="00725F19">
      <w:pPr>
        <w:spacing w:before="120" w:after="120"/>
        <w:jc w:val="right"/>
        <w:rPr>
          <w:rFonts w:ascii="Times New Roman" w:hAnsi="Times New Roman" w:cs="Times New Roman"/>
        </w:rPr>
      </w:pPr>
    </w:p>
    <w:p w14:paraId="2658D33F"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Весовые коэффициенты</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63"/>
        <w:gridCol w:w="2463"/>
        <w:gridCol w:w="850"/>
        <w:gridCol w:w="1276"/>
      </w:tblGrid>
      <w:tr w:rsidR="00B06B6F" w:rsidRPr="00FC7951" w14:paraId="72A4B3F6" w14:textId="77777777" w:rsidTr="00791B2D">
        <w:trPr>
          <w:trHeight w:val="2235"/>
        </w:trPr>
        <w:tc>
          <w:tcPr>
            <w:tcW w:w="1050" w:type="dxa"/>
            <w:shd w:val="clear" w:color="auto" w:fill="auto"/>
            <w:noWrap/>
            <w:vAlign w:val="bottom"/>
          </w:tcPr>
          <w:p w14:paraId="38ACEA3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noWrap/>
            <w:vAlign w:val="bottom"/>
          </w:tcPr>
          <w:p w14:paraId="5CA2CB2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656" w:type="dxa"/>
            <w:shd w:val="clear" w:color="auto" w:fill="auto"/>
            <w:textDirection w:val="btLr"/>
            <w:vAlign w:val="center"/>
          </w:tcPr>
          <w:p w14:paraId="6C594CD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группы</w:t>
            </w:r>
          </w:p>
        </w:tc>
        <w:tc>
          <w:tcPr>
            <w:tcW w:w="2463" w:type="dxa"/>
            <w:shd w:val="clear" w:color="auto" w:fill="auto"/>
            <w:noWrap/>
            <w:vAlign w:val="center"/>
          </w:tcPr>
          <w:p w14:paraId="38E5EF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Показатель</w:t>
            </w:r>
          </w:p>
        </w:tc>
        <w:tc>
          <w:tcPr>
            <w:tcW w:w="850" w:type="dxa"/>
            <w:shd w:val="clear" w:color="auto" w:fill="auto"/>
            <w:textDirection w:val="btLr"/>
            <w:vAlign w:val="center"/>
          </w:tcPr>
          <w:p w14:paraId="68335C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показателя внутри группы</w:t>
            </w:r>
          </w:p>
        </w:tc>
        <w:tc>
          <w:tcPr>
            <w:tcW w:w="1276" w:type="dxa"/>
            <w:shd w:val="clear" w:color="auto" w:fill="auto"/>
            <w:textDirection w:val="btLr"/>
            <w:vAlign w:val="center"/>
          </w:tcPr>
          <w:p w14:paraId="157633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Итоговый вес показателя с учетом веса группы показателей</w:t>
            </w:r>
          </w:p>
        </w:tc>
      </w:tr>
      <w:tr w:rsidR="00B06B6F" w:rsidRPr="00FC7951" w14:paraId="6459A781" w14:textId="77777777" w:rsidTr="00791B2D">
        <w:trPr>
          <w:trHeight w:val="600"/>
        </w:trPr>
        <w:tc>
          <w:tcPr>
            <w:tcW w:w="1050" w:type="dxa"/>
            <w:vMerge w:val="restart"/>
            <w:shd w:val="clear" w:color="auto" w:fill="auto"/>
            <w:textDirection w:val="btLr"/>
            <w:vAlign w:val="center"/>
          </w:tcPr>
          <w:p w14:paraId="3398DB5B"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финансовых показателей</w:t>
            </w:r>
          </w:p>
        </w:tc>
        <w:tc>
          <w:tcPr>
            <w:tcW w:w="3061" w:type="dxa"/>
            <w:vMerge w:val="restart"/>
            <w:shd w:val="clear" w:color="auto" w:fill="auto"/>
          </w:tcPr>
          <w:p w14:paraId="0A23F69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1 группа</w:t>
            </w:r>
            <w:r w:rsidRPr="00FC7951">
              <w:rPr>
                <w:rFonts w:ascii="Times New Roman" w:hAnsi="Times New Roman" w:cs="Times New Roman"/>
                <w:color w:val="000000"/>
              </w:rPr>
              <w:t xml:space="preserve"> Коэффициенты, характеризующие способность участника расплачиваться по финансовым обязательствам и устойчивость:</w:t>
            </w:r>
          </w:p>
        </w:tc>
        <w:tc>
          <w:tcPr>
            <w:tcW w:w="656" w:type="dxa"/>
            <w:vMerge w:val="restart"/>
            <w:shd w:val="clear" w:color="auto" w:fill="auto"/>
            <w:vAlign w:val="center"/>
          </w:tcPr>
          <w:p w14:paraId="20B8EC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0,30</w:t>
            </w:r>
          </w:p>
        </w:tc>
        <w:tc>
          <w:tcPr>
            <w:tcW w:w="2463" w:type="dxa"/>
            <w:shd w:val="clear" w:color="auto" w:fill="auto"/>
          </w:tcPr>
          <w:p w14:paraId="71673982"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Доля привлеченных средств в пассивах</w:t>
            </w:r>
          </w:p>
        </w:tc>
        <w:tc>
          <w:tcPr>
            <w:tcW w:w="850" w:type="dxa"/>
            <w:shd w:val="clear" w:color="auto" w:fill="auto"/>
            <w:noWrap/>
            <w:vAlign w:val="center"/>
          </w:tcPr>
          <w:p w14:paraId="20162D82"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0DDCA2A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0,15</w:t>
            </w:r>
          </w:p>
        </w:tc>
      </w:tr>
      <w:tr w:rsidR="00B06B6F" w:rsidRPr="00FC7951" w14:paraId="747323D8" w14:textId="77777777" w:rsidTr="00791B2D">
        <w:trPr>
          <w:trHeight w:val="600"/>
        </w:trPr>
        <w:tc>
          <w:tcPr>
            <w:tcW w:w="1050" w:type="dxa"/>
            <w:vMerge/>
            <w:vAlign w:val="center"/>
          </w:tcPr>
          <w:p w14:paraId="5E7BE5D7"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522D4B1C" w14:textId="77777777" w:rsidR="00B06B6F" w:rsidRPr="00FC7951" w:rsidRDefault="00B06B6F" w:rsidP="00725F19">
            <w:pPr>
              <w:rPr>
                <w:rFonts w:ascii="Times New Roman" w:hAnsi="Times New Roman" w:cs="Times New Roman"/>
                <w:color w:val="000000"/>
              </w:rPr>
            </w:pPr>
          </w:p>
        </w:tc>
        <w:tc>
          <w:tcPr>
            <w:tcW w:w="656" w:type="dxa"/>
            <w:vMerge/>
            <w:vAlign w:val="center"/>
          </w:tcPr>
          <w:p w14:paraId="2EA7617E"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6653DCF6"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Рентабельность инвестированного капитала</w:t>
            </w:r>
          </w:p>
        </w:tc>
        <w:tc>
          <w:tcPr>
            <w:tcW w:w="850" w:type="dxa"/>
            <w:shd w:val="clear" w:color="auto" w:fill="auto"/>
            <w:noWrap/>
            <w:vAlign w:val="center"/>
          </w:tcPr>
          <w:p w14:paraId="3A50C06E"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20%</w:t>
            </w:r>
          </w:p>
        </w:tc>
        <w:tc>
          <w:tcPr>
            <w:tcW w:w="1276" w:type="dxa"/>
            <w:shd w:val="clear" w:color="auto" w:fill="auto"/>
            <w:noWrap/>
            <w:vAlign w:val="center"/>
          </w:tcPr>
          <w:p w14:paraId="46F3077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w:t>
            </w:r>
          </w:p>
        </w:tc>
      </w:tr>
      <w:tr w:rsidR="00B06B6F" w:rsidRPr="00FC7951" w14:paraId="6B4EABC8" w14:textId="77777777" w:rsidTr="00791B2D">
        <w:trPr>
          <w:trHeight w:val="300"/>
        </w:trPr>
        <w:tc>
          <w:tcPr>
            <w:tcW w:w="1050" w:type="dxa"/>
            <w:vMerge/>
            <w:vAlign w:val="center"/>
          </w:tcPr>
          <w:p w14:paraId="003302B8"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3FFBFA07" w14:textId="77777777" w:rsidR="00B06B6F" w:rsidRPr="00FC7951" w:rsidRDefault="00B06B6F" w:rsidP="00725F19">
            <w:pPr>
              <w:rPr>
                <w:rFonts w:ascii="Times New Roman" w:hAnsi="Times New Roman" w:cs="Times New Roman"/>
                <w:color w:val="000000"/>
              </w:rPr>
            </w:pPr>
          </w:p>
        </w:tc>
        <w:tc>
          <w:tcPr>
            <w:tcW w:w="656" w:type="dxa"/>
            <w:vMerge/>
            <w:vAlign w:val="center"/>
          </w:tcPr>
          <w:p w14:paraId="40B3A653"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4700A6D4"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Долг / EBITDA</w:t>
            </w:r>
          </w:p>
        </w:tc>
        <w:tc>
          <w:tcPr>
            <w:tcW w:w="850" w:type="dxa"/>
            <w:shd w:val="clear" w:color="auto" w:fill="auto"/>
            <w:noWrap/>
            <w:vAlign w:val="center"/>
          </w:tcPr>
          <w:p w14:paraId="7F0CE356"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30%</w:t>
            </w:r>
          </w:p>
        </w:tc>
        <w:tc>
          <w:tcPr>
            <w:tcW w:w="1276" w:type="dxa"/>
            <w:shd w:val="clear" w:color="auto" w:fill="auto"/>
            <w:noWrap/>
            <w:vAlign w:val="center"/>
          </w:tcPr>
          <w:p w14:paraId="2C7A4FA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0,09</w:t>
            </w:r>
          </w:p>
        </w:tc>
      </w:tr>
      <w:tr w:rsidR="00B06B6F" w:rsidRPr="00FC7951" w14:paraId="0A8AC5F9" w14:textId="77777777" w:rsidTr="00791B2D">
        <w:trPr>
          <w:trHeight w:val="300"/>
        </w:trPr>
        <w:tc>
          <w:tcPr>
            <w:tcW w:w="1050" w:type="dxa"/>
            <w:vMerge/>
            <w:vAlign w:val="center"/>
          </w:tcPr>
          <w:p w14:paraId="442109FF" w14:textId="77777777" w:rsidR="00B06B6F" w:rsidRPr="00FC7951" w:rsidRDefault="00B06B6F" w:rsidP="00725F19">
            <w:pPr>
              <w:jc w:val="center"/>
              <w:rPr>
                <w:rFonts w:ascii="Times New Roman" w:hAnsi="Times New Roman" w:cs="Times New Roman"/>
                <w:color w:val="000000"/>
              </w:rPr>
            </w:pPr>
          </w:p>
        </w:tc>
        <w:tc>
          <w:tcPr>
            <w:tcW w:w="3061" w:type="dxa"/>
            <w:vMerge w:val="restart"/>
            <w:shd w:val="clear" w:color="auto" w:fill="auto"/>
          </w:tcPr>
          <w:p w14:paraId="42895CA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2 группа</w:t>
            </w:r>
            <w:r w:rsidRPr="00FC7951">
              <w:rPr>
                <w:rFonts w:ascii="Times New Roman" w:hAnsi="Times New Roman" w:cs="Times New Roman"/>
                <w:color w:val="000000"/>
              </w:rPr>
              <w:t xml:space="preserve"> Коэффициенты, характеризующие операционную деятельность</w:t>
            </w:r>
          </w:p>
        </w:tc>
        <w:tc>
          <w:tcPr>
            <w:tcW w:w="656" w:type="dxa"/>
            <w:vMerge w:val="restart"/>
            <w:shd w:val="clear" w:color="auto" w:fill="auto"/>
            <w:vAlign w:val="center"/>
          </w:tcPr>
          <w:p w14:paraId="2AB4EE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0,22</w:t>
            </w:r>
          </w:p>
        </w:tc>
        <w:tc>
          <w:tcPr>
            <w:tcW w:w="2463" w:type="dxa"/>
            <w:shd w:val="clear" w:color="auto" w:fill="auto"/>
          </w:tcPr>
          <w:p w14:paraId="7A31712A"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период оборота дебиторской задолженности</w:t>
            </w:r>
          </w:p>
        </w:tc>
        <w:tc>
          <w:tcPr>
            <w:tcW w:w="850" w:type="dxa"/>
            <w:shd w:val="clear" w:color="auto" w:fill="auto"/>
            <w:noWrap/>
            <w:vAlign w:val="center"/>
          </w:tcPr>
          <w:p w14:paraId="55CF4A73"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30%</w:t>
            </w:r>
          </w:p>
        </w:tc>
        <w:tc>
          <w:tcPr>
            <w:tcW w:w="1276" w:type="dxa"/>
            <w:shd w:val="clear" w:color="auto" w:fill="auto"/>
            <w:noWrap/>
            <w:vAlign w:val="center"/>
          </w:tcPr>
          <w:p w14:paraId="0C67F0BA"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0,07</w:t>
            </w:r>
          </w:p>
        </w:tc>
      </w:tr>
      <w:tr w:rsidR="00B06B6F" w:rsidRPr="00FC7951" w14:paraId="6AE63964" w14:textId="77777777" w:rsidTr="00791B2D">
        <w:trPr>
          <w:trHeight w:val="300"/>
        </w:trPr>
        <w:tc>
          <w:tcPr>
            <w:tcW w:w="1050" w:type="dxa"/>
            <w:vMerge/>
            <w:vAlign w:val="center"/>
          </w:tcPr>
          <w:p w14:paraId="08D98FFE"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1D75AF09" w14:textId="77777777" w:rsidR="00B06B6F" w:rsidRPr="00FC7951" w:rsidRDefault="00B06B6F" w:rsidP="00725F19">
            <w:pPr>
              <w:rPr>
                <w:rFonts w:ascii="Times New Roman" w:hAnsi="Times New Roman" w:cs="Times New Roman"/>
                <w:color w:val="000000"/>
              </w:rPr>
            </w:pPr>
          </w:p>
        </w:tc>
        <w:tc>
          <w:tcPr>
            <w:tcW w:w="656" w:type="dxa"/>
            <w:vMerge/>
            <w:vAlign w:val="center"/>
          </w:tcPr>
          <w:p w14:paraId="46C8A2BE"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1A182EE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период оборота кредиторской задолженности</w:t>
            </w:r>
          </w:p>
        </w:tc>
        <w:tc>
          <w:tcPr>
            <w:tcW w:w="850" w:type="dxa"/>
            <w:shd w:val="clear" w:color="auto" w:fill="auto"/>
            <w:noWrap/>
            <w:vAlign w:val="center"/>
          </w:tcPr>
          <w:p w14:paraId="2CCB8877"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70%</w:t>
            </w:r>
          </w:p>
        </w:tc>
        <w:tc>
          <w:tcPr>
            <w:tcW w:w="1276" w:type="dxa"/>
            <w:shd w:val="clear" w:color="auto" w:fill="auto"/>
            <w:noWrap/>
            <w:vAlign w:val="center"/>
          </w:tcPr>
          <w:p w14:paraId="173F1A7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0,15</w:t>
            </w:r>
          </w:p>
        </w:tc>
      </w:tr>
      <w:tr w:rsidR="00B06B6F" w:rsidRPr="00FC7951" w14:paraId="54926175" w14:textId="77777777" w:rsidTr="00791B2D">
        <w:trPr>
          <w:trHeight w:val="300"/>
        </w:trPr>
        <w:tc>
          <w:tcPr>
            <w:tcW w:w="1050" w:type="dxa"/>
            <w:vMerge/>
            <w:vAlign w:val="center"/>
          </w:tcPr>
          <w:p w14:paraId="1D349117" w14:textId="77777777" w:rsidR="00B06B6F" w:rsidRPr="00FC7951" w:rsidRDefault="00B06B6F" w:rsidP="00725F19">
            <w:pPr>
              <w:jc w:val="center"/>
              <w:rPr>
                <w:rFonts w:ascii="Times New Roman" w:hAnsi="Times New Roman" w:cs="Times New Roman"/>
                <w:color w:val="000000"/>
              </w:rPr>
            </w:pPr>
          </w:p>
        </w:tc>
        <w:tc>
          <w:tcPr>
            <w:tcW w:w="3061" w:type="dxa"/>
            <w:vMerge w:val="restart"/>
            <w:shd w:val="clear" w:color="auto" w:fill="auto"/>
          </w:tcPr>
          <w:p w14:paraId="04AED83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3 группа</w:t>
            </w:r>
            <w:r w:rsidRPr="00FC7951">
              <w:rPr>
                <w:rFonts w:ascii="Times New Roman" w:hAnsi="Times New Roman" w:cs="Times New Roman"/>
                <w:color w:val="000000"/>
              </w:rPr>
              <w:t xml:space="preserve"> Коэффициенты, характеризующие ликвидность</w:t>
            </w:r>
          </w:p>
        </w:tc>
        <w:tc>
          <w:tcPr>
            <w:tcW w:w="656" w:type="dxa"/>
            <w:vMerge w:val="restart"/>
            <w:shd w:val="clear" w:color="auto" w:fill="auto"/>
            <w:vAlign w:val="center"/>
          </w:tcPr>
          <w:p w14:paraId="42A9FDB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0,13</w:t>
            </w:r>
          </w:p>
        </w:tc>
        <w:tc>
          <w:tcPr>
            <w:tcW w:w="2463" w:type="dxa"/>
            <w:shd w:val="clear" w:color="auto" w:fill="auto"/>
          </w:tcPr>
          <w:p w14:paraId="0E781F3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xml:space="preserve">Абсолютная ликвидность </w:t>
            </w:r>
          </w:p>
        </w:tc>
        <w:tc>
          <w:tcPr>
            <w:tcW w:w="850" w:type="dxa"/>
            <w:shd w:val="clear" w:color="auto" w:fill="auto"/>
            <w:noWrap/>
            <w:vAlign w:val="center"/>
          </w:tcPr>
          <w:p w14:paraId="3153505C"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643EB42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0,065</w:t>
            </w:r>
          </w:p>
        </w:tc>
      </w:tr>
      <w:tr w:rsidR="00B06B6F" w:rsidRPr="00FC7951" w14:paraId="7462AF01" w14:textId="77777777" w:rsidTr="00791B2D">
        <w:trPr>
          <w:trHeight w:val="900"/>
        </w:trPr>
        <w:tc>
          <w:tcPr>
            <w:tcW w:w="1050" w:type="dxa"/>
            <w:vMerge/>
            <w:vAlign w:val="center"/>
          </w:tcPr>
          <w:p w14:paraId="0EB1BA2C"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533FD657" w14:textId="77777777" w:rsidR="00B06B6F" w:rsidRPr="00FC7951" w:rsidRDefault="00B06B6F" w:rsidP="00725F19">
            <w:pPr>
              <w:rPr>
                <w:rFonts w:ascii="Times New Roman" w:hAnsi="Times New Roman" w:cs="Times New Roman"/>
                <w:color w:val="000000"/>
              </w:rPr>
            </w:pPr>
          </w:p>
        </w:tc>
        <w:tc>
          <w:tcPr>
            <w:tcW w:w="656" w:type="dxa"/>
            <w:vMerge/>
            <w:vAlign w:val="center"/>
          </w:tcPr>
          <w:p w14:paraId="530EB5D3"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766240E8"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xml:space="preserve">Покрытие внеоборотных активов долгосрочными источниками финансирования </w:t>
            </w:r>
          </w:p>
        </w:tc>
        <w:tc>
          <w:tcPr>
            <w:tcW w:w="850" w:type="dxa"/>
            <w:shd w:val="clear" w:color="auto" w:fill="auto"/>
            <w:noWrap/>
            <w:vAlign w:val="center"/>
          </w:tcPr>
          <w:p w14:paraId="3260FBA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4DA2AA0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0,065</w:t>
            </w:r>
          </w:p>
        </w:tc>
      </w:tr>
      <w:tr w:rsidR="00B06B6F" w:rsidRPr="00FC7951" w14:paraId="543477B8" w14:textId="77777777" w:rsidTr="00791B2D">
        <w:trPr>
          <w:trHeight w:val="705"/>
        </w:trPr>
        <w:tc>
          <w:tcPr>
            <w:tcW w:w="1050" w:type="dxa"/>
            <w:vMerge w:val="restart"/>
            <w:shd w:val="clear" w:color="auto" w:fill="auto"/>
            <w:textDirection w:val="btLr"/>
            <w:vAlign w:val="center"/>
          </w:tcPr>
          <w:p w14:paraId="08E0A3FD"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lastRenderedPageBreak/>
              <w:t>Группа показателей бизнес-риска</w:t>
            </w:r>
          </w:p>
        </w:tc>
        <w:tc>
          <w:tcPr>
            <w:tcW w:w="3061" w:type="dxa"/>
            <w:vMerge w:val="restart"/>
            <w:shd w:val="clear" w:color="auto" w:fill="auto"/>
          </w:tcPr>
          <w:p w14:paraId="2CFFE6A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4 группа</w:t>
            </w:r>
            <w:r w:rsidRPr="00FC7951">
              <w:rPr>
                <w:rFonts w:ascii="Times New Roman" w:hAnsi="Times New Roman" w:cs="Times New Roman"/>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56" w:type="dxa"/>
            <w:vMerge w:val="restart"/>
            <w:shd w:val="clear" w:color="auto" w:fill="auto"/>
            <w:vAlign w:val="center"/>
          </w:tcPr>
          <w:p w14:paraId="70410C1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0,38</w:t>
            </w:r>
          </w:p>
        </w:tc>
        <w:tc>
          <w:tcPr>
            <w:tcW w:w="2463" w:type="dxa"/>
            <w:shd w:val="clear" w:color="auto" w:fill="auto"/>
          </w:tcPr>
          <w:p w14:paraId="0A7952E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Выручка</w:t>
            </w:r>
          </w:p>
        </w:tc>
        <w:tc>
          <w:tcPr>
            <w:tcW w:w="850" w:type="dxa"/>
            <w:shd w:val="clear" w:color="auto" w:fill="auto"/>
            <w:noWrap/>
            <w:vAlign w:val="center"/>
          </w:tcPr>
          <w:p w14:paraId="6B6F2B1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22D4AE6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0,19</w:t>
            </w:r>
          </w:p>
        </w:tc>
      </w:tr>
      <w:tr w:rsidR="00B06B6F" w:rsidRPr="00FC7951" w14:paraId="271BB834" w14:textId="77777777" w:rsidTr="00791B2D">
        <w:trPr>
          <w:trHeight w:val="705"/>
        </w:trPr>
        <w:tc>
          <w:tcPr>
            <w:tcW w:w="1050" w:type="dxa"/>
            <w:vMerge/>
            <w:vAlign w:val="center"/>
          </w:tcPr>
          <w:p w14:paraId="7BE1ABCD" w14:textId="77777777" w:rsidR="00B06B6F" w:rsidRPr="00FC7951" w:rsidRDefault="00B06B6F" w:rsidP="00725F19">
            <w:pPr>
              <w:rPr>
                <w:rFonts w:ascii="Times New Roman" w:hAnsi="Times New Roman" w:cs="Times New Roman"/>
                <w:color w:val="000000"/>
              </w:rPr>
            </w:pPr>
          </w:p>
        </w:tc>
        <w:tc>
          <w:tcPr>
            <w:tcW w:w="3061" w:type="dxa"/>
            <w:vMerge/>
            <w:vAlign w:val="center"/>
          </w:tcPr>
          <w:p w14:paraId="1B88CF23" w14:textId="77777777" w:rsidR="00B06B6F" w:rsidRPr="00FC7951" w:rsidRDefault="00B06B6F" w:rsidP="00725F19">
            <w:pPr>
              <w:rPr>
                <w:rFonts w:ascii="Times New Roman" w:hAnsi="Times New Roman" w:cs="Times New Roman"/>
                <w:color w:val="000000"/>
              </w:rPr>
            </w:pPr>
          </w:p>
        </w:tc>
        <w:tc>
          <w:tcPr>
            <w:tcW w:w="656" w:type="dxa"/>
            <w:vMerge/>
            <w:vAlign w:val="center"/>
          </w:tcPr>
          <w:p w14:paraId="6A7F2856"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2B3B550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Активы</w:t>
            </w:r>
          </w:p>
        </w:tc>
        <w:tc>
          <w:tcPr>
            <w:tcW w:w="850" w:type="dxa"/>
            <w:shd w:val="clear" w:color="auto" w:fill="auto"/>
            <w:noWrap/>
            <w:vAlign w:val="center"/>
          </w:tcPr>
          <w:p w14:paraId="1E3A4CC2"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3D9F6613"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0,19</w:t>
            </w:r>
          </w:p>
        </w:tc>
      </w:tr>
      <w:tr w:rsidR="00B06B6F" w:rsidRPr="00FC7951" w14:paraId="09A3C555" w14:textId="77777777" w:rsidTr="00791B2D">
        <w:trPr>
          <w:trHeight w:val="685"/>
        </w:trPr>
        <w:tc>
          <w:tcPr>
            <w:tcW w:w="1050" w:type="dxa"/>
            <w:vMerge/>
            <w:vAlign w:val="center"/>
          </w:tcPr>
          <w:p w14:paraId="6D765970"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7052008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5 группа</w:t>
            </w:r>
            <w:r w:rsidRPr="00FC7951">
              <w:rPr>
                <w:rFonts w:ascii="Times New Roman" w:hAnsi="Times New Roman" w:cs="Times New Roman"/>
                <w:color w:val="000000"/>
              </w:rPr>
              <w:t xml:space="preserve"> Срок существования участника</w:t>
            </w:r>
          </w:p>
        </w:tc>
        <w:tc>
          <w:tcPr>
            <w:tcW w:w="656" w:type="dxa"/>
            <w:shd w:val="clear" w:color="auto" w:fill="auto"/>
            <w:vAlign w:val="center"/>
          </w:tcPr>
          <w:p w14:paraId="14EAB84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0,18</w:t>
            </w:r>
          </w:p>
        </w:tc>
        <w:tc>
          <w:tcPr>
            <w:tcW w:w="2463" w:type="dxa"/>
            <w:shd w:val="clear" w:color="auto" w:fill="auto"/>
          </w:tcPr>
          <w:p w14:paraId="0BAC13B3" w14:textId="77777777" w:rsidR="00B06B6F" w:rsidRPr="00FC7951" w:rsidRDefault="00B06B6F" w:rsidP="00725F19">
            <w:pPr>
              <w:rPr>
                <w:rFonts w:ascii="Times New Roman" w:hAnsi="Times New Roman" w:cs="Times New Roman"/>
                <w:i/>
                <w:color w:val="000000"/>
              </w:rPr>
            </w:pPr>
          </w:p>
        </w:tc>
        <w:tc>
          <w:tcPr>
            <w:tcW w:w="850" w:type="dxa"/>
            <w:shd w:val="clear" w:color="auto" w:fill="auto"/>
            <w:noWrap/>
            <w:vAlign w:val="center"/>
          </w:tcPr>
          <w:p w14:paraId="637C6B54"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372E6349"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0,18</w:t>
            </w:r>
          </w:p>
        </w:tc>
      </w:tr>
      <w:tr w:rsidR="00B06B6F" w:rsidRPr="00FC7951" w14:paraId="2E8AE99E" w14:textId="77777777" w:rsidTr="00791B2D">
        <w:trPr>
          <w:trHeight w:val="900"/>
        </w:trPr>
        <w:tc>
          <w:tcPr>
            <w:tcW w:w="1050" w:type="dxa"/>
            <w:vMerge/>
            <w:vAlign w:val="center"/>
          </w:tcPr>
          <w:p w14:paraId="6AD6113D"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3160365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6 группа</w:t>
            </w:r>
            <w:r w:rsidRPr="00FC7951">
              <w:rPr>
                <w:rFonts w:ascii="Times New Roman" w:hAnsi="Times New Roman" w:cs="Times New Roman"/>
                <w:color w:val="000000"/>
              </w:rPr>
              <w:t xml:space="preserve"> Финансовые условия сделки</w:t>
            </w:r>
            <w:r w:rsidRPr="00FC7951">
              <w:rPr>
                <w:rFonts w:ascii="Times New Roman" w:hAnsi="Times New Roman" w:cs="Times New Roman"/>
                <w:color w:val="000000"/>
              </w:rPr>
              <w:br/>
              <w:t>- авансовые платежи есть/нет</w:t>
            </w:r>
            <w:r w:rsidRPr="00FC7951">
              <w:rPr>
                <w:rFonts w:ascii="Times New Roman" w:hAnsi="Times New Roman" w:cs="Times New Roman"/>
                <w:color w:val="000000"/>
              </w:rPr>
              <w:br/>
              <w:t>- обеспечение (</w:t>
            </w:r>
            <w:r w:rsidRPr="00FC7951">
              <w:rPr>
                <w:rFonts w:ascii="Times New Roman" w:hAnsi="Times New Roman" w:cs="Times New Roman"/>
              </w:rPr>
              <w:t>независим</w:t>
            </w:r>
            <w:r w:rsidRPr="00FC7951">
              <w:rPr>
                <w:rFonts w:ascii="Times New Roman" w:hAnsi="Times New Roman" w:cs="Times New Roman"/>
                <w:color w:val="000000"/>
              </w:rPr>
              <w:t>ая гарантия)</w:t>
            </w:r>
          </w:p>
        </w:tc>
        <w:tc>
          <w:tcPr>
            <w:tcW w:w="656" w:type="dxa"/>
            <w:shd w:val="clear" w:color="auto" w:fill="auto"/>
            <w:vAlign w:val="center"/>
          </w:tcPr>
          <w:p w14:paraId="53107D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0,23</w:t>
            </w:r>
          </w:p>
        </w:tc>
        <w:tc>
          <w:tcPr>
            <w:tcW w:w="2463" w:type="dxa"/>
            <w:shd w:val="clear" w:color="auto" w:fill="auto"/>
          </w:tcPr>
          <w:p w14:paraId="3AA3851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850" w:type="dxa"/>
            <w:shd w:val="clear" w:color="auto" w:fill="auto"/>
            <w:noWrap/>
            <w:vAlign w:val="center"/>
          </w:tcPr>
          <w:p w14:paraId="2E363500"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709C12D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0,23</w:t>
            </w:r>
          </w:p>
        </w:tc>
      </w:tr>
      <w:tr w:rsidR="00B06B6F" w:rsidRPr="00FC7951" w14:paraId="20DCC16E" w14:textId="77777777" w:rsidTr="00791B2D">
        <w:trPr>
          <w:trHeight w:val="300"/>
        </w:trPr>
        <w:tc>
          <w:tcPr>
            <w:tcW w:w="1050" w:type="dxa"/>
            <w:shd w:val="clear" w:color="auto" w:fill="auto"/>
            <w:textDirection w:val="btLr"/>
            <w:vAlign w:val="bottom"/>
          </w:tcPr>
          <w:p w14:paraId="2231187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tcPr>
          <w:p w14:paraId="508413F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Константа*</w:t>
            </w:r>
          </w:p>
        </w:tc>
        <w:tc>
          <w:tcPr>
            <w:tcW w:w="656" w:type="dxa"/>
            <w:shd w:val="clear" w:color="auto" w:fill="auto"/>
            <w:vAlign w:val="center"/>
          </w:tcPr>
          <w:p w14:paraId="75FF1EA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-0,37</w:t>
            </w:r>
          </w:p>
        </w:tc>
        <w:tc>
          <w:tcPr>
            <w:tcW w:w="2463" w:type="dxa"/>
            <w:shd w:val="clear" w:color="auto" w:fill="auto"/>
          </w:tcPr>
          <w:p w14:paraId="57470B4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850" w:type="dxa"/>
            <w:shd w:val="clear" w:color="auto" w:fill="auto"/>
            <w:noWrap/>
            <w:vAlign w:val="bottom"/>
          </w:tcPr>
          <w:p w14:paraId="5B87DE15"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1276" w:type="dxa"/>
            <w:shd w:val="clear" w:color="auto" w:fill="auto"/>
            <w:noWrap/>
            <w:vAlign w:val="bottom"/>
          </w:tcPr>
          <w:p w14:paraId="065FB62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-0,37</w:t>
            </w:r>
          </w:p>
        </w:tc>
      </w:tr>
    </w:tbl>
    <w:p w14:paraId="4FF54DB6" w14:textId="77777777" w:rsidR="00B06B6F" w:rsidRPr="00FC7951" w:rsidRDefault="00B06B6F" w:rsidP="00725F19">
      <w:pPr>
        <w:tabs>
          <w:tab w:val="num" w:pos="1584"/>
        </w:tabs>
        <w:jc w:val="both"/>
        <w:rPr>
          <w:rFonts w:ascii="Times New Roman" w:hAnsi="Times New Roman" w:cs="Times New Roman"/>
          <w:i/>
        </w:rPr>
      </w:pPr>
      <w:r w:rsidRPr="00FC7951">
        <w:rPr>
          <w:rFonts w:ascii="Times New Roman" w:hAnsi="Times New Roman" w:cs="Times New Roman"/>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FC7951">
        <w:rPr>
          <w:rFonts w:ascii="Times New Roman" w:hAnsi="Times New Roman" w:cs="Times New Roman"/>
          <w:i/>
          <w:lang w:val="en-US"/>
        </w:rPr>
        <w:t>MS</w:t>
      </w:r>
      <w:r w:rsidRPr="00FC7951">
        <w:rPr>
          <w:rFonts w:ascii="Times New Roman" w:hAnsi="Times New Roman" w:cs="Times New Roman"/>
          <w:i/>
        </w:rPr>
        <w:t xml:space="preserve"> </w:t>
      </w:r>
      <w:r w:rsidRPr="00FC7951">
        <w:rPr>
          <w:rFonts w:ascii="Times New Roman" w:hAnsi="Times New Roman" w:cs="Times New Roman"/>
          <w:i/>
          <w:lang w:val="en-US"/>
        </w:rPr>
        <w:t>Excel</w:t>
      </w:r>
      <w:r w:rsidRPr="00FC7951">
        <w:rPr>
          <w:rFonts w:ascii="Times New Roman" w:hAnsi="Times New Roman" w:cs="Times New Roman"/>
          <w:i/>
        </w:rPr>
        <w:t xml:space="preserve"> наиболее точное решение было получено при ненулевой константе</w:t>
      </w:r>
    </w:p>
    <w:p w14:paraId="10B3142A" w14:textId="77777777" w:rsidR="00B06B6F" w:rsidRPr="00FC7951" w:rsidRDefault="00B06B6F" w:rsidP="00725F19">
      <w:pPr>
        <w:pStyle w:val="ac"/>
        <w:numPr>
          <w:ilvl w:val="1"/>
          <w:numId w:val="1"/>
        </w:numPr>
        <w:tabs>
          <w:tab w:val="left" w:pos="1134"/>
        </w:tabs>
        <w:spacing w:before="120" w:after="120"/>
        <w:ind w:left="0" w:firstLine="709"/>
        <w:jc w:val="both"/>
      </w:pPr>
      <w:r w:rsidRPr="00FC7951">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14:paraId="411948F4" w14:textId="77777777" w:rsidR="00B06B6F" w:rsidRPr="00791B2D" w:rsidRDefault="00B06B6F" w:rsidP="00725F19">
      <w:pPr>
        <w:pStyle w:val="ac"/>
        <w:tabs>
          <w:tab w:val="left" w:pos="1134"/>
        </w:tabs>
        <w:spacing w:before="120" w:after="120"/>
        <w:ind w:left="0" w:firstLine="709"/>
        <w:jc w:val="both"/>
      </w:pPr>
    </w:p>
    <w:p w14:paraId="02108D3D" w14:textId="77777777" w:rsidR="00B06B6F" w:rsidRPr="00791B2D" w:rsidRDefault="00B06B6F" w:rsidP="00725F19">
      <w:pPr>
        <w:pStyle w:val="1"/>
        <w:tabs>
          <w:tab w:val="clear" w:pos="1353"/>
          <w:tab w:val="left" w:pos="1134"/>
        </w:tabs>
        <w:ind w:left="0" w:firstLine="709"/>
      </w:pPr>
      <w:bookmarkStart w:id="25" w:name="_Toc107244336"/>
      <w:bookmarkStart w:id="26" w:name="_Toc107247775"/>
      <w:r w:rsidRPr="00791B2D">
        <w:t>ОТБОРОЧНАЯ СТАДИЯ</w:t>
      </w:r>
      <w:bookmarkEnd w:id="25"/>
      <w:bookmarkEnd w:id="26"/>
      <w:r w:rsidRPr="00791B2D">
        <w:t xml:space="preserve"> </w:t>
      </w:r>
    </w:p>
    <w:p w14:paraId="50071368"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Первичная оценка по шкале от 0 до 1, полученная в результате применения </w:t>
      </w:r>
      <w:proofErr w:type="spellStart"/>
      <w:r w:rsidRPr="00791B2D">
        <w:t>балльно</w:t>
      </w:r>
      <w:proofErr w:type="spellEnd"/>
      <w:r w:rsidRPr="00791B2D">
        <w:t>-весового метода, используется на отборочной стадии для принятия решения о соответствии/несоответствии участника закупочной процедуры требованиям ВНД Общества и/или закупочной документации, в том числе настоящей Методики, а именно участник должен:</w:t>
      </w:r>
    </w:p>
    <w:p w14:paraId="3A806A1B"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обладать достаточной финансовой устойчивостью;</w:t>
      </w:r>
    </w:p>
    <w:p w14:paraId="6B7358CF"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иметь достаточно продолжительную историю существования и релевантный опыт, в оценке с точки зрения финансово-экономических критериев;</w:t>
      </w:r>
    </w:p>
    <w:p w14:paraId="4322F695"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иметь необходимые финансовые ресурсы;</w:t>
      </w:r>
    </w:p>
    <w:p w14:paraId="2F5A95DC"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оценка финансовых условий сделки (наличие/отсутствие аванса, независимой гарантии) должна обеспечить минимизацию принимаемых кредитных рисков.</w:t>
      </w:r>
    </w:p>
    <w:p w14:paraId="4133E9B2"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Настоящей Методикой устанавливается, что предложения участников закупочной процедуры, набравших в результате применения </w:t>
      </w:r>
      <w:proofErr w:type="spellStart"/>
      <w:r w:rsidRPr="00791B2D">
        <w:t>балльно</w:t>
      </w:r>
      <w:proofErr w:type="spellEnd"/>
      <w:r w:rsidRPr="00791B2D">
        <w:t>-весового подхода менее 0,45 баллов по шкале от 0 до 1, должны быть рекомендованы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14:paraId="7F992428" w14:textId="77777777" w:rsidR="00B06B6F" w:rsidRPr="00791B2D" w:rsidRDefault="00B06B6F" w:rsidP="00725F19">
      <w:pPr>
        <w:pStyle w:val="ac"/>
        <w:numPr>
          <w:ilvl w:val="1"/>
          <w:numId w:val="1"/>
        </w:numPr>
        <w:tabs>
          <w:tab w:val="left" w:pos="1134"/>
        </w:tabs>
        <w:spacing w:before="120" w:after="120"/>
        <w:ind w:left="0" w:firstLine="709"/>
        <w:jc w:val="both"/>
      </w:pPr>
      <w:r w:rsidRPr="00791B2D">
        <w:t>Кроме того, для принятия решения о соответствии/несоответствии используется система стоп и риск-факторов. В случае предоставления подписанной и заверенной печатью промежуточной бухгалтерской отчетности (по состоянию на 31.03, 30.06, 30.09 текущего года), которая используется в качестве бухгалтерской отчетности на</w:t>
      </w:r>
      <w:r w:rsidRPr="00FC7951">
        <w:t xml:space="preserve"> </w:t>
      </w:r>
      <w:r w:rsidRPr="00791B2D">
        <w:lastRenderedPageBreak/>
        <w:t xml:space="preserve">последнюю отчетную дату незавершенного финансового года, такая отчетность также используется при расчете стоп и риск-факторов / рассматривается на предмет их наличия. </w:t>
      </w:r>
    </w:p>
    <w:p w14:paraId="310D1236"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b/>
          <w:sz w:val="24"/>
          <w:szCs w:val="24"/>
        </w:rPr>
        <w:t>Стоп-фактор</w:t>
      </w:r>
      <w:r w:rsidRPr="00791B2D">
        <w:rPr>
          <w:rFonts w:ascii="Times New Roman" w:hAnsi="Times New Roman" w:cs="Times New Roman"/>
          <w:sz w:val="24"/>
          <w:szCs w:val="24"/>
        </w:rPr>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14:paraId="5D8068DF"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существенное несоответствие масштабов деятельности участника закупочной процедуры сумме закупки (если стоимость предложения, указанная в оферте, в годовом выражении с учетом п. 8.1. более чем в 1,4 раза превышает взвешенную с учетом п. 9.1. годовую выручку участника или более чем в 2,8 раза превосходит его взвешенные с учетом п. 9.1. активы);</w:t>
      </w:r>
    </w:p>
    <w:p w14:paraId="22442940"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отрицательное значение 3-го раздела баланса (капитал и резервы) на последнюю отчетную дату (в том числе незавершенного финансового года);</w:t>
      </w:r>
    </w:p>
    <w:p w14:paraId="2BEF47DB"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 </w:t>
      </w:r>
    </w:p>
    <w:p w14:paraId="15A45A9A" w14:textId="77777777" w:rsidR="00B06B6F" w:rsidRDefault="00B06B6F" w:rsidP="00791B2D">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 (в том числе незавершенного финансового года) / отсутствие подписанной участником на ЭТП декларации об отсутствии задолженности в размере более </w:t>
      </w:r>
      <w:r w:rsidR="00391929" w:rsidRPr="00791B2D">
        <w:rPr>
          <w:rFonts w:ascii="Times New Roman" w:hAnsi="Times New Roman" w:cs="Times New Roman"/>
          <w:sz w:val="24"/>
          <w:szCs w:val="24"/>
        </w:rPr>
        <w:t>25% валюты баланса для закупок.</w:t>
      </w:r>
    </w:p>
    <w:p w14:paraId="5D3488B4" w14:textId="77777777" w:rsidR="00791B2D" w:rsidRPr="00791B2D" w:rsidRDefault="00791B2D" w:rsidP="00791B2D">
      <w:pPr>
        <w:tabs>
          <w:tab w:val="left" w:pos="1134"/>
        </w:tabs>
        <w:spacing w:after="0" w:line="240" w:lineRule="auto"/>
        <w:jc w:val="both"/>
        <w:rPr>
          <w:rFonts w:ascii="Times New Roman" w:hAnsi="Times New Roman" w:cs="Times New Roman"/>
          <w:sz w:val="24"/>
          <w:szCs w:val="24"/>
        </w:rPr>
      </w:pPr>
    </w:p>
    <w:p w14:paraId="436D5B86"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b/>
          <w:sz w:val="24"/>
          <w:szCs w:val="24"/>
        </w:rPr>
        <w:t>Риск-фактор</w:t>
      </w:r>
      <w:r w:rsidRPr="00791B2D">
        <w:rPr>
          <w:rFonts w:ascii="Times New Roman" w:hAnsi="Times New Roman" w:cs="Times New Roman"/>
          <w:sz w:val="24"/>
          <w:szCs w:val="24"/>
        </w:rPr>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14:paraId="555D005D"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непокрытый убыток в бухгалтерском балансе на последнюю отчетную дату (в том числе незавершенного финансового года);</w:t>
      </w:r>
    </w:p>
    <w:p w14:paraId="6BE3E412"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убытки на последнюю отчетную дату незавершенного финансового года или по итогам последнего года;</w:t>
      </w:r>
    </w:p>
    <w:p w14:paraId="20B18326"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срок существования участника менее года;</w:t>
      </w:r>
    </w:p>
    <w:p w14:paraId="5500FEFA"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сделка является достаточно крупной для участника закупочной процедуры (если стоимость предложения, указанная в оферте, в годовом выражении с учетом п. 8.1. превышает 80% взвешенной с учетом п. 9.1. годовой выручки участника или более чем в 1,6 раз превосходит взвешенную с учетом п. 9.1. величину его активов);</w:t>
      </w:r>
    </w:p>
    <w:p w14:paraId="2242A32D"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если договором предусматривается выплата аванса без покрытия независимой гарантией.</w:t>
      </w:r>
      <w:r w:rsidRPr="00791B2D">
        <w:rPr>
          <w:rFonts w:ascii="Times New Roman" w:hAnsi="Times New Roman" w:cs="Times New Roman"/>
          <w:i/>
          <w:sz w:val="24"/>
          <w:szCs w:val="24"/>
        </w:rPr>
        <w:t xml:space="preserve"> </w:t>
      </w:r>
    </w:p>
    <w:p w14:paraId="717AAD77" w14:textId="77777777" w:rsidR="00B06B6F" w:rsidRPr="00791B2D" w:rsidRDefault="00B06B6F" w:rsidP="001746C7">
      <w:pPr>
        <w:tabs>
          <w:tab w:val="left" w:pos="1134"/>
        </w:tabs>
        <w:jc w:val="both"/>
        <w:rPr>
          <w:rFonts w:ascii="Times New Roman" w:hAnsi="Times New Roman" w:cs="Times New Roman"/>
          <w:sz w:val="24"/>
          <w:szCs w:val="24"/>
        </w:rPr>
      </w:pPr>
    </w:p>
    <w:p w14:paraId="0A5DB04F" w14:textId="77777777" w:rsidR="00B06B6F" w:rsidRPr="00791B2D" w:rsidRDefault="00B06B6F" w:rsidP="00725F19">
      <w:pPr>
        <w:pStyle w:val="ac"/>
        <w:numPr>
          <w:ilvl w:val="1"/>
          <w:numId w:val="1"/>
        </w:numPr>
        <w:tabs>
          <w:tab w:val="left" w:pos="1134"/>
        </w:tabs>
        <w:ind w:left="0" w:firstLine="709"/>
        <w:jc w:val="both"/>
      </w:pPr>
      <w:r w:rsidRPr="00791B2D">
        <w:t xml:space="preserve">На основе совместного применения </w:t>
      </w:r>
      <w:proofErr w:type="spellStart"/>
      <w:r w:rsidRPr="00791B2D">
        <w:t>балльно</w:t>
      </w:r>
      <w:proofErr w:type="spellEnd"/>
      <w:r w:rsidRPr="00791B2D">
        <w:t>-весового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14:paraId="474186C3" w14:textId="77777777" w:rsidR="001746C7" w:rsidRDefault="001746C7" w:rsidP="00725F19">
      <w:pPr>
        <w:jc w:val="right"/>
        <w:rPr>
          <w:rFonts w:ascii="Times New Roman" w:hAnsi="Times New Roman" w:cs="Times New Roman"/>
        </w:rPr>
      </w:pPr>
    </w:p>
    <w:p w14:paraId="37DBCC4B" w14:textId="77777777" w:rsidR="001746C7" w:rsidRDefault="001746C7" w:rsidP="00725F19">
      <w:pPr>
        <w:jc w:val="right"/>
        <w:rPr>
          <w:rFonts w:ascii="Times New Roman" w:hAnsi="Times New Roman" w:cs="Times New Roman"/>
        </w:rPr>
      </w:pPr>
    </w:p>
    <w:p w14:paraId="063930D7" w14:textId="77777777" w:rsidR="00B06B6F" w:rsidRPr="00FC7951" w:rsidRDefault="00B06B6F" w:rsidP="00725F19">
      <w:pPr>
        <w:jc w:val="right"/>
        <w:rPr>
          <w:rFonts w:ascii="Times New Roman" w:hAnsi="Times New Roman" w:cs="Times New Roman"/>
        </w:rPr>
      </w:pPr>
      <w:r w:rsidRPr="00FC7951">
        <w:rPr>
          <w:rFonts w:ascii="Times New Roman" w:hAnsi="Times New Roman" w:cs="Times New Roman"/>
        </w:rPr>
        <w:lastRenderedPageBreak/>
        <w:t>Таблица алгоритм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6374"/>
      </w:tblGrid>
      <w:tr w:rsidR="00B06B6F" w:rsidRPr="00FC7951" w14:paraId="656504F2" w14:textId="77777777" w:rsidTr="001746C7">
        <w:trPr>
          <w:trHeight w:val="542"/>
        </w:trPr>
        <w:tc>
          <w:tcPr>
            <w:tcW w:w="2982" w:type="dxa"/>
            <w:shd w:val="clear" w:color="auto" w:fill="auto"/>
            <w:noWrap/>
            <w:vAlign w:val="center"/>
          </w:tcPr>
          <w:p w14:paraId="5B13688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Решение о соответствии/несоответствии</w:t>
            </w:r>
          </w:p>
        </w:tc>
        <w:tc>
          <w:tcPr>
            <w:tcW w:w="6374" w:type="dxa"/>
            <w:shd w:val="clear" w:color="auto" w:fill="auto"/>
            <w:noWrap/>
            <w:vAlign w:val="center"/>
          </w:tcPr>
          <w:p w14:paraId="129E7E6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Описание</w:t>
            </w:r>
          </w:p>
        </w:tc>
      </w:tr>
      <w:tr w:rsidR="00B06B6F" w:rsidRPr="00FC7951" w14:paraId="66EA60C2" w14:textId="77777777" w:rsidTr="001746C7">
        <w:trPr>
          <w:trHeight w:val="576"/>
        </w:trPr>
        <w:tc>
          <w:tcPr>
            <w:tcW w:w="2982" w:type="dxa"/>
            <w:shd w:val="clear" w:color="000000" w:fill="FFE5E5"/>
            <w:noWrap/>
            <w:vAlign w:val="center"/>
          </w:tcPr>
          <w:p w14:paraId="6F7BA096"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Не соответствует</w:t>
            </w:r>
          </w:p>
        </w:tc>
        <w:tc>
          <w:tcPr>
            <w:tcW w:w="6374" w:type="dxa"/>
            <w:shd w:val="clear" w:color="000000" w:fill="FFE5E5"/>
            <w:noWrap/>
          </w:tcPr>
          <w:p w14:paraId="74CC912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менее 0,45 баллов</w:t>
            </w:r>
            <w:r w:rsidRPr="00FC7951">
              <w:rPr>
                <w:rFonts w:ascii="Times New Roman" w:hAnsi="Times New Roman" w:cs="Times New Roman"/>
                <w:color w:val="000000"/>
              </w:rPr>
              <w:t xml:space="preserve"> (по шкале от 0 до 1) или имеются стоп-факторы</w:t>
            </w:r>
          </w:p>
        </w:tc>
      </w:tr>
      <w:tr w:rsidR="00B06B6F" w:rsidRPr="00FC7951" w14:paraId="5157CA0C" w14:textId="77777777" w:rsidTr="001746C7">
        <w:trPr>
          <w:trHeight w:val="1111"/>
        </w:trPr>
        <w:tc>
          <w:tcPr>
            <w:tcW w:w="2982" w:type="dxa"/>
            <w:shd w:val="clear" w:color="000000" w:fill="F8FFB9"/>
            <w:noWrap/>
            <w:vAlign w:val="center"/>
          </w:tcPr>
          <w:p w14:paraId="488EE498"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Пограничная ситуация (для принятия решения о соответствии/несоответствии требуется участие Эксперта)</w:t>
            </w:r>
          </w:p>
        </w:tc>
        <w:tc>
          <w:tcPr>
            <w:tcW w:w="6374" w:type="dxa"/>
            <w:shd w:val="clear" w:color="000000" w:fill="F8FFB9"/>
            <w:noWrap/>
          </w:tcPr>
          <w:p w14:paraId="2CE46733"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от 0,45 до 0,5 баллов</w:t>
            </w:r>
            <w:r w:rsidRPr="00FC7951">
              <w:rPr>
                <w:rFonts w:ascii="Times New Roman" w:hAnsi="Times New Roman" w:cs="Times New Roman"/>
                <w:color w:val="000000"/>
              </w:rPr>
              <w:t xml:space="preserve"> (по шкале от 0 до 1) или имеется более двух риск-факторов, стоп-факторы при этом отсутствуют</w:t>
            </w:r>
          </w:p>
        </w:tc>
      </w:tr>
      <w:tr w:rsidR="00B06B6F" w:rsidRPr="00FC7951" w14:paraId="791545AD" w14:textId="77777777" w:rsidTr="001746C7">
        <w:trPr>
          <w:trHeight w:val="556"/>
        </w:trPr>
        <w:tc>
          <w:tcPr>
            <w:tcW w:w="2982" w:type="dxa"/>
            <w:shd w:val="clear" w:color="000000" w:fill="C6FED1"/>
            <w:noWrap/>
            <w:vAlign w:val="center"/>
          </w:tcPr>
          <w:p w14:paraId="2FEF02E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Соответствует</w:t>
            </w:r>
          </w:p>
        </w:tc>
        <w:tc>
          <w:tcPr>
            <w:tcW w:w="6374" w:type="dxa"/>
            <w:shd w:val="clear" w:color="000000" w:fill="C6FED1"/>
            <w:noWrap/>
          </w:tcPr>
          <w:p w14:paraId="7F4E4761"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более 0,5 баллов</w:t>
            </w:r>
            <w:r w:rsidRPr="00FC7951">
              <w:rPr>
                <w:rFonts w:ascii="Times New Roman" w:hAnsi="Times New Roman" w:cs="Times New Roman"/>
                <w:color w:val="000000"/>
              </w:rPr>
              <w:t xml:space="preserve"> (по шкале от 0 до 1), стоп-факторы отсутствуют, имеется не более двух риск-факторов</w:t>
            </w:r>
          </w:p>
        </w:tc>
      </w:tr>
    </w:tbl>
    <w:p w14:paraId="401EFE5A" w14:textId="77777777" w:rsidR="00B06B6F" w:rsidRPr="00FC7951" w:rsidRDefault="00B06B6F" w:rsidP="00725F19">
      <w:pPr>
        <w:jc w:val="both"/>
        <w:rPr>
          <w:rFonts w:ascii="Times New Roman" w:hAnsi="Times New Roman" w:cs="Times New Roman"/>
        </w:rPr>
      </w:pPr>
    </w:p>
    <w:p w14:paraId="001089F5"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ВНД Общества и/или закупочной документации, в том числе настоящей Методики. В случае если на основании применения </w:t>
      </w:r>
      <w:proofErr w:type="spellStart"/>
      <w:r w:rsidRPr="00FC7951">
        <w:t>балльно</w:t>
      </w:r>
      <w:proofErr w:type="spellEnd"/>
      <w:r w:rsidRPr="00FC7951">
        <w:t>-весового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14:paraId="15892584" w14:textId="77777777" w:rsidR="00B06B6F" w:rsidRDefault="00B06B6F" w:rsidP="00725F19">
      <w:pPr>
        <w:pStyle w:val="ac"/>
        <w:numPr>
          <w:ilvl w:val="1"/>
          <w:numId w:val="1"/>
        </w:numPr>
        <w:tabs>
          <w:tab w:val="left" w:pos="1134"/>
        </w:tabs>
        <w:spacing w:before="120" w:after="120"/>
        <w:ind w:left="0" w:firstLine="709"/>
        <w:jc w:val="both"/>
      </w:pPr>
      <w:r w:rsidRPr="00FC7951">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Порядок применения положений Методики в отношении индивидуальных предпринимателей определен в разделе 4 приложения 2 к Методике.</w:t>
      </w:r>
    </w:p>
    <w:p w14:paraId="4971048F" w14:textId="77777777" w:rsidR="001746C7" w:rsidRPr="00FC7951" w:rsidRDefault="001746C7" w:rsidP="001746C7">
      <w:pPr>
        <w:pStyle w:val="ac"/>
        <w:tabs>
          <w:tab w:val="left" w:pos="1134"/>
        </w:tabs>
        <w:spacing w:before="120" w:after="120"/>
        <w:ind w:left="709"/>
        <w:jc w:val="both"/>
      </w:pPr>
    </w:p>
    <w:p w14:paraId="0FC8ADA6" w14:textId="77777777" w:rsidR="00B06B6F" w:rsidRPr="00FC7951" w:rsidRDefault="00B06B6F" w:rsidP="00725F19">
      <w:pPr>
        <w:pStyle w:val="1"/>
        <w:tabs>
          <w:tab w:val="clear" w:pos="1353"/>
          <w:tab w:val="left" w:pos="1134"/>
        </w:tabs>
        <w:ind w:left="0" w:firstLine="709"/>
      </w:pPr>
      <w:bookmarkStart w:id="27" w:name="_Toc107244337"/>
      <w:bookmarkStart w:id="28" w:name="_Toc107247776"/>
      <w:r w:rsidRPr="00FC7951">
        <w:t>ОЦЕНОЧНАЯ СТАДИЯ</w:t>
      </w:r>
      <w:bookmarkEnd w:id="27"/>
      <w:bookmarkEnd w:id="28"/>
    </w:p>
    <w:p w14:paraId="20BA7673" w14:textId="77777777" w:rsidR="00B06B6F" w:rsidRPr="00FC7951" w:rsidRDefault="00B06B6F" w:rsidP="00725F19">
      <w:pPr>
        <w:pStyle w:val="ac"/>
        <w:numPr>
          <w:ilvl w:val="1"/>
          <w:numId w:val="1"/>
        </w:numPr>
        <w:tabs>
          <w:tab w:val="left" w:pos="1134"/>
        </w:tabs>
        <w:spacing w:before="120" w:after="120"/>
        <w:ind w:left="0" w:firstLine="709"/>
        <w:jc w:val="both"/>
      </w:pPr>
      <w:r w:rsidRPr="00FC7951">
        <w:t>На оценочной стадии финансово-экономической экспертизы предложения участников закупочной процедуры, прошедших отборочную стадию, ранжируются / получают итоговую оценку с учетом оценки их финансового состояния, качественной оценки бизнес-рисков, а также предлагаемых финансовых условий сделки.</w:t>
      </w:r>
    </w:p>
    <w:p w14:paraId="2C5ED5A6"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w:t>
      </w:r>
      <w:proofErr w:type="spellStart"/>
      <w:r w:rsidRPr="00FC7951">
        <w:t>балльно</w:t>
      </w:r>
      <w:proofErr w:type="spellEnd"/>
      <w:r w:rsidRPr="00FC7951">
        <w:t>-весового подхода. Все участники,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 присвоение итоговой оценки осуществляется переводом первичной шкалы от 0 до 1 в шкалу от 0 до 5 (Таблица перевода).</w:t>
      </w:r>
    </w:p>
    <w:p w14:paraId="4D36F9CD"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406"/>
      </w:tblGrid>
      <w:tr w:rsidR="00B06B6F" w:rsidRPr="00FC7951" w14:paraId="4FB5D4C3" w14:textId="77777777" w:rsidTr="001746C7">
        <w:trPr>
          <w:jc w:val="center"/>
        </w:trPr>
        <w:tc>
          <w:tcPr>
            <w:tcW w:w="2989" w:type="dxa"/>
          </w:tcPr>
          <w:p w14:paraId="511A05AA"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Первичный балл (0-1)</w:t>
            </w:r>
          </w:p>
        </w:tc>
        <w:tc>
          <w:tcPr>
            <w:tcW w:w="2122" w:type="dxa"/>
            <w:vAlign w:val="center"/>
          </w:tcPr>
          <w:p w14:paraId="6E581C94"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менее 0,45</w:t>
            </w:r>
          </w:p>
        </w:tc>
        <w:tc>
          <w:tcPr>
            <w:tcW w:w="2976" w:type="dxa"/>
            <w:vAlign w:val="center"/>
          </w:tcPr>
          <w:p w14:paraId="454D411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от 0,45 до 0,95</w:t>
            </w:r>
          </w:p>
        </w:tc>
        <w:tc>
          <w:tcPr>
            <w:tcW w:w="1406" w:type="dxa"/>
            <w:shd w:val="clear" w:color="auto" w:fill="auto"/>
            <w:vAlign w:val="center"/>
          </w:tcPr>
          <w:p w14:paraId="3FC6FBC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более 0,95</w:t>
            </w:r>
          </w:p>
        </w:tc>
      </w:tr>
      <w:tr w:rsidR="00B06B6F" w:rsidRPr="00FC7951" w14:paraId="3ECC946F" w14:textId="77777777" w:rsidTr="001746C7">
        <w:trPr>
          <w:trHeight w:val="773"/>
          <w:jc w:val="center"/>
        </w:trPr>
        <w:tc>
          <w:tcPr>
            <w:tcW w:w="2989" w:type="dxa"/>
            <w:vAlign w:val="center"/>
          </w:tcPr>
          <w:p w14:paraId="0DB02405"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rPr>
              <w:lastRenderedPageBreak/>
              <w:t>Итоговая оценка (0-5)</w:t>
            </w:r>
          </w:p>
        </w:tc>
        <w:tc>
          <w:tcPr>
            <w:tcW w:w="2122" w:type="dxa"/>
            <w:vAlign w:val="center"/>
          </w:tcPr>
          <w:p w14:paraId="39628BDD"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0</w:t>
            </w:r>
          </w:p>
        </w:tc>
        <w:tc>
          <w:tcPr>
            <w:tcW w:w="2976" w:type="dxa"/>
            <w:vAlign w:val="center"/>
          </w:tcPr>
          <w:p w14:paraId="149C7208" w14:textId="77777777" w:rsidR="00B06B6F" w:rsidRPr="00FC7951" w:rsidRDefault="00B06B6F" w:rsidP="00725F19">
            <w:pPr>
              <w:spacing w:after="60"/>
              <w:jc w:val="center"/>
              <w:rPr>
                <w:rFonts w:ascii="Times New Roman" w:hAnsi="Times New Roman" w:cs="Times New Roman"/>
                <w:bCs/>
              </w:rPr>
            </w:pPr>
            <m:oMathPara>
              <m:oMath>
                <m:r>
                  <w:rPr>
                    <w:rFonts w:ascii="Cambria Math" w:hAnsi="Cambria Math" w:cs="Times New Roman"/>
                    <w:lang w:val="en-US"/>
                  </w:rPr>
                  <m:t>ИО=5*</m:t>
                </m:r>
                <m:sSup>
                  <m:sSupPr>
                    <m:ctrlPr>
                      <w:rPr>
                        <w:rFonts w:ascii="Cambria Math" w:eastAsia="Calibri" w:hAnsi="Cambria Math" w:cs="Times New Roman"/>
                        <w:i/>
                        <w:lang w:val="en-US"/>
                      </w:rPr>
                    </m:ctrlPr>
                  </m:sSupPr>
                  <m:e>
                    <m:f>
                      <m:fPr>
                        <m:ctrlPr>
                          <w:rPr>
                            <w:rFonts w:ascii="Cambria Math" w:eastAsia="Calibri" w:hAnsi="Cambria Math" w:cs="Times New Roman"/>
                            <w:i/>
                            <w:lang w:val="en-US"/>
                          </w:rPr>
                        </m:ctrlPr>
                      </m:fPr>
                      <m:num>
                        <m:r>
                          <w:rPr>
                            <w:rFonts w:ascii="Cambria Math" w:hAnsi="Cambria Math" w:cs="Times New Roman"/>
                            <w:lang w:val="en-US"/>
                          </w:rPr>
                          <m:t>ПБ-0,45</m:t>
                        </m:r>
                      </m:num>
                      <m:den>
                        <m:r>
                          <w:rPr>
                            <w:rFonts w:ascii="Cambria Math" w:hAnsi="Cambria Math" w:cs="Times New Roman"/>
                            <w:lang w:val="en-US"/>
                          </w:rPr>
                          <m:t>0,95-0,45</m:t>
                        </m:r>
                      </m:den>
                    </m:f>
                  </m:e>
                  <m:sup>
                    <m:r>
                      <w:rPr>
                        <w:rFonts w:ascii="Cambria Math" w:hAnsi="Cambria Math" w:cs="Times New Roman"/>
                        <w:lang w:val="en-US"/>
                      </w:rPr>
                      <m:t>*</m:t>
                    </m:r>
                  </m:sup>
                </m:sSup>
              </m:oMath>
            </m:oMathPara>
          </w:p>
        </w:tc>
        <w:tc>
          <w:tcPr>
            <w:tcW w:w="1406" w:type="dxa"/>
            <w:shd w:val="clear" w:color="auto" w:fill="auto"/>
            <w:vAlign w:val="center"/>
          </w:tcPr>
          <w:p w14:paraId="50CF611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5</w:t>
            </w:r>
          </w:p>
        </w:tc>
      </w:tr>
    </w:tbl>
    <w:p w14:paraId="49674170" w14:textId="77777777" w:rsidR="00B06B6F" w:rsidRPr="00FC7951" w:rsidRDefault="00B06B6F" w:rsidP="00725F19">
      <w:pPr>
        <w:spacing w:before="120" w:after="120"/>
        <w:rPr>
          <w:rFonts w:ascii="Times New Roman" w:hAnsi="Times New Roman" w:cs="Times New Roman"/>
          <w:i/>
        </w:rPr>
      </w:pPr>
      <w:r w:rsidRPr="00FC7951">
        <w:rPr>
          <w:rFonts w:ascii="Times New Roman" w:hAnsi="Times New Roman" w:cs="Times New Roman"/>
          <w:i/>
        </w:rPr>
        <w:t>*ИО – итоговая оценка; ПБ – первичный балл. Итоговая оценка округляется с точностью до одного знака после запятой.</w:t>
      </w:r>
    </w:p>
    <w:p w14:paraId="19463ABC" w14:textId="77777777" w:rsidR="00B06B6F" w:rsidRPr="00FC7951" w:rsidRDefault="00B06B6F" w:rsidP="00725F19">
      <w:pPr>
        <w:pStyle w:val="ac"/>
        <w:numPr>
          <w:ilvl w:val="1"/>
          <w:numId w:val="1"/>
        </w:numPr>
        <w:tabs>
          <w:tab w:val="left" w:pos="1134"/>
        </w:tabs>
        <w:spacing w:before="120" w:after="120"/>
        <w:ind w:left="0" w:firstLine="709"/>
        <w:jc w:val="both"/>
      </w:pPr>
      <w:r w:rsidRPr="00FC7951">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495"/>
      </w:tblGrid>
      <w:tr w:rsidR="00B06B6F" w:rsidRPr="00FC7951" w14:paraId="353D45FA" w14:textId="77777777" w:rsidTr="001746C7">
        <w:trPr>
          <w:jc w:val="center"/>
        </w:trPr>
        <w:tc>
          <w:tcPr>
            <w:tcW w:w="2734" w:type="dxa"/>
            <w:tcBorders>
              <w:bottom w:val="single" w:sz="4" w:space="0" w:color="auto"/>
            </w:tcBorders>
          </w:tcPr>
          <w:p w14:paraId="3647F7FE"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Первичный балл (0-1)</w:t>
            </w:r>
          </w:p>
        </w:tc>
        <w:tc>
          <w:tcPr>
            <w:tcW w:w="1287" w:type="dxa"/>
            <w:tcBorders>
              <w:bottom w:val="single" w:sz="4" w:space="0" w:color="auto"/>
            </w:tcBorders>
            <w:vAlign w:val="center"/>
          </w:tcPr>
          <w:p w14:paraId="02019FDF"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Итоговая оценка (0-5)</w:t>
            </w:r>
          </w:p>
        </w:tc>
        <w:tc>
          <w:tcPr>
            <w:tcW w:w="3260" w:type="dxa"/>
            <w:tcBorders>
              <w:bottom w:val="single" w:sz="4" w:space="0" w:color="auto"/>
            </w:tcBorders>
            <w:vAlign w:val="center"/>
          </w:tcPr>
          <w:p w14:paraId="135EE443"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Соответствие Оценки уровню кредитного риска</w:t>
            </w:r>
          </w:p>
        </w:tc>
        <w:tc>
          <w:tcPr>
            <w:tcW w:w="2495" w:type="dxa"/>
            <w:tcBorders>
              <w:bottom w:val="single" w:sz="4" w:space="0" w:color="auto"/>
            </w:tcBorders>
            <w:shd w:val="clear" w:color="auto" w:fill="auto"/>
            <w:vAlign w:val="center"/>
          </w:tcPr>
          <w:p w14:paraId="3A67A54D"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Интерпретация полученной Оценки</w:t>
            </w:r>
          </w:p>
        </w:tc>
      </w:tr>
      <w:tr w:rsidR="00B06B6F" w:rsidRPr="00FC7951" w14:paraId="2E4985C2" w14:textId="77777777" w:rsidTr="001746C7">
        <w:trPr>
          <w:trHeight w:val="270"/>
          <w:jc w:val="center"/>
        </w:trPr>
        <w:tc>
          <w:tcPr>
            <w:tcW w:w="2734" w:type="dxa"/>
            <w:tcBorders>
              <w:bottom w:val="single" w:sz="4" w:space="0" w:color="auto"/>
            </w:tcBorders>
            <w:shd w:val="clear" w:color="auto" w:fill="FF0000"/>
            <w:vAlign w:val="center"/>
          </w:tcPr>
          <w:p w14:paraId="0AB25AD8"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0-0,45</w:t>
            </w:r>
          </w:p>
        </w:tc>
        <w:tc>
          <w:tcPr>
            <w:tcW w:w="1287" w:type="dxa"/>
            <w:tcBorders>
              <w:bottom w:val="single" w:sz="4" w:space="0" w:color="auto"/>
            </w:tcBorders>
            <w:shd w:val="clear" w:color="auto" w:fill="FF0000"/>
            <w:vAlign w:val="center"/>
          </w:tcPr>
          <w:p w14:paraId="7753CDD5"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w:t>
            </w:r>
          </w:p>
        </w:tc>
        <w:tc>
          <w:tcPr>
            <w:tcW w:w="3260" w:type="dxa"/>
            <w:tcBorders>
              <w:bottom w:val="single" w:sz="4" w:space="0" w:color="auto"/>
            </w:tcBorders>
            <w:shd w:val="clear" w:color="auto" w:fill="FF0000"/>
            <w:vAlign w:val="center"/>
          </w:tcPr>
          <w:p w14:paraId="650C5B83"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rPr>
              <w:t>«Недопустимо высокий</w:t>
            </w:r>
            <w:r w:rsidRPr="00FC7951">
              <w:rPr>
                <w:rFonts w:ascii="Times New Roman" w:hAnsi="Times New Roman" w:cs="Times New Roman"/>
                <w:bCs/>
              </w:rPr>
              <w:t xml:space="preserve"> риск»</w:t>
            </w:r>
          </w:p>
        </w:tc>
        <w:tc>
          <w:tcPr>
            <w:tcW w:w="2495" w:type="dxa"/>
            <w:tcBorders>
              <w:bottom w:val="single" w:sz="4" w:space="0" w:color="auto"/>
            </w:tcBorders>
            <w:shd w:val="clear" w:color="auto" w:fill="FF0000"/>
          </w:tcPr>
          <w:p w14:paraId="261FA99A"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«Неприемлемо»</w:t>
            </w:r>
          </w:p>
          <w:p w14:paraId="27BA39D6"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i/>
              </w:rPr>
              <w:t>(предложение участника рекомендуется отклонить)</w:t>
            </w:r>
          </w:p>
        </w:tc>
      </w:tr>
      <w:tr w:rsidR="00B06B6F" w:rsidRPr="00FC7951" w14:paraId="04B77A85" w14:textId="77777777" w:rsidTr="001746C7">
        <w:trPr>
          <w:trHeight w:val="303"/>
          <w:jc w:val="center"/>
        </w:trPr>
        <w:tc>
          <w:tcPr>
            <w:tcW w:w="2734" w:type="dxa"/>
            <w:tcBorders>
              <w:bottom w:val="single" w:sz="4" w:space="0" w:color="auto"/>
            </w:tcBorders>
            <w:shd w:val="clear" w:color="auto" w:fill="FFFF00"/>
            <w:vAlign w:val="center"/>
          </w:tcPr>
          <w:p w14:paraId="559D3419"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0,45-0,55</w:t>
            </w:r>
          </w:p>
        </w:tc>
        <w:tc>
          <w:tcPr>
            <w:tcW w:w="1287" w:type="dxa"/>
            <w:tcBorders>
              <w:bottom w:val="single" w:sz="4" w:space="0" w:color="auto"/>
            </w:tcBorders>
            <w:shd w:val="clear" w:color="auto" w:fill="FFFF00"/>
            <w:vAlign w:val="center"/>
          </w:tcPr>
          <w:p w14:paraId="0AE48E02"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0-1</w:t>
            </w:r>
          </w:p>
        </w:tc>
        <w:tc>
          <w:tcPr>
            <w:tcW w:w="3260" w:type="dxa"/>
            <w:tcBorders>
              <w:bottom w:val="single" w:sz="4" w:space="0" w:color="auto"/>
            </w:tcBorders>
            <w:shd w:val="clear" w:color="auto" w:fill="FFFF00"/>
            <w:vAlign w:val="center"/>
          </w:tcPr>
          <w:p w14:paraId="7D289DEB"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«Очень высокий</w:t>
            </w:r>
            <w:r w:rsidRPr="00FC7951">
              <w:rPr>
                <w:rFonts w:ascii="Times New Roman" w:hAnsi="Times New Roman" w:cs="Times New Roman"/>
                <w:bCs/>
              </w:rPr>
              <w:t xml:space="preserve"> риск»</w:t>
            </w:r>
          </w:p>
        </w:tc>
        <w:tc>
          <w:tcPr>
            <w:tcW w:w="2495" w:type="dxa"/>
            <w:tcBorders>
              <w:bottom w:val="single" w:sz="4" w:space="0" w:color="auto"/>
            </w:tcBorders>
            <w:shd w:val="clear" w:color="auto" w:fill="FFFF00"/>
          </w:tcPr>
          <w:p w14:paraId="1A3F2D3F"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«Минимально приемлемо»</w:t>
            </w:r>
          </w:p>
        </w:tc>
      </w:tr>
      <w:tr w:rsidR="00B06B6F" w:rsidRPr="00FC7951" w14:paraId="0E59217A" w14:textId="77777777" w:rsidTr="001746C7">
        <w:trPr>
          <w:trHeight w:val="252"/>
          <w:jc w:val="center"/>
        </w:trPr>
        <w:tc>
          <w:tcPr>
            <w:tcW w:w="2734" w:type="dxa"/>
            <w:tcBorders>
              <w:bottom w:val="single" w:sz="4" w:space="0" w:color="auto"/>
            </w:tcBorders>
            <w:shd w:val="clear" w:color="auto" w:fill="FFFF00"/>
            <w:vAlign w:val="center"/>
          </w:tcPr>
          <w:p w14:paraId="0DE3EF60"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0,55-0,65</w:t>
            </w:r>
          </w:p>
        </w:tc>
        <w:tc>
          <w:tcPr>
            <w:tcW w:w="1287" w:type="dxa"/>
            <w:tcBorders>
              <w:bottom w:val="single" w:sz="4" w:space="0" w:color="auto"/>
            </w:tcBorders>
            <w:shd w:val="clear" w:color="auto" w:fill="FFFF00"/>
            <w:vAlign w:val="center"/>
          </w:tcPr>
          <w:p w14:paraId="7C62EC0B"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1-2</w:t>
            </w:r>
          </w:p>
        </w:tc>
        <w:tc>
          <w:tcPr>
            <w:tcW w:w="3260" w:type="dxa"/>
            <w:tcBorders>
              <w:bottom w:val="single" w:sz="4" w:space="0" w:color="auto"/>
            </w:tcBorders>
            <w:shd w:val="clear" w:color="auto" w:fill="FFFF00"/>
            <w:vAlign w:val="center"/>
          </w:tcPr>
          <w:p w14:paraId="7A066EB5"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rPr>
              <w:t>«</w:t>
            </w:r>
            <w:r w:rsidRPr="00FC7951">
              <w:rPr>
                <w:rFonts w:ascii="Times New Roman" w:hAnsi="Times New Roman" w:cs="Times New Roman"/>
                <w:bCs/>
              </w:rPr>
              <w:t>Повышенный риск»</w:t>
            </w:r>
          </w:p>
        </w:tc>
        <w:tc>
          <w:tcPr>
            <w:tcW w:w="2495" w:type="dxa"/>
            <w:tcBorders>
              <w:bottom w:val="single" w:sz="4" w:space="0" w:color="auto"/>
            </w:tcBorders>
            <w:shd w:val="clear" w:color="auto" w:fill="FFFF00"/>
          </w:tcPr>
          <w:p w14:paraId="63D21AC0"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«Удовлетворительно»</w:t>
            </w:r>
          </w:p>
        </w:tc>
      </w:tr>
      <w:tr w:rsidR="00B06B6F" w:rsidRPr="00FC7951" w14:paraId="5572A7BD" w14:textId="77777777" w:rsidTr="001746C7">
        <w:trPr>
          <w:jc w:val="center"/>
        </w:trPr>
        <w:tc>
          <w:tcPr>
            <w:tcW w:w="2734" w:type="dxa"/>
            <w:shd w:val="clear" w:color="auto" w:fill="92D050"/>
            <w:vAlign w:val="center"/>
          </w:tcPr>
          <w:p w14:paraId="0C66041D"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0,65-0,75</w:t>
            </w:r>
          </w:p>
        </w:tc>
        <w:tc>
          <w:tcPr>
            <w:tcW w:w="1287" w:type="dxa"/>
            <w:shd w:val="clear" w:color="auto" w:fill="92D050"/>
            <w:vAlign w:val="center"/>
          </w:tcPr>
          <w:p w14:paraId="40B88841"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2-3</w:t>
            </w:r>
          </w:p>
        </w:tc>
        <w:tc>
          <w:tcPr>
            <w:tcW w:w="3260" w:type="dxa"/>
            <w:shd w:val="clear" w:color="auto" w:fill="92D050"/>
            <w:vAlign w:val="center"/>
          </w:tcPr>
          <w:p w14:paraId="024FF68A"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«Вполне приемлемый риск</w:t>
            </w:r>
          </w:p>
        </w:tc>
        <w:tc>
          <w:tcPr>
            <w:tcW w:w="2495" w:type="dxa"/>
            <w:shd w:val="clear" w:color="auto" w:fill="92D050"/>
          </w:tcPr>
          <w:p w14:paraId="50B1C634"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«Хорошо»</w:t>
            </w:r>
          </w:p>
          <w:p w14:paraId="4F0D89F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i/>
              </w:rPr>
              <w:t>(финансовое состояние соответствует требованиям ВНД Общества и/или закупочной документации)</w:t>
            </w:r>
          </w:p>
        </w:tc>
      </w:tr>
      <w:tr w:rsidR="00B06B6F" w:rsidRPr="00FC7951" w14:paraId="3CAE9696" w14:textId="77777777" w:rsidTr="001746C7">
        <w:trPr>
          <w:trHeight w:val="155"/>
          <w:jc w:val="center"/>
        </w:trPr>
        <w:tc>
          <w:tcPr>
            <w:tcW w:w="2734" w:type="dxa"/>
            <w:shd w:val="clear" w:color="auto" w:fill="92D050"/>
            <w:vAlign w:val="center"/>
          </w:tcPr>
          <w:p w14:paraId="2A99E3CA"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0,75-0,85</w:t>
            </w:r>
          </w:p>
        </w:tc>
        <w:tc>
          <w:tcPr>
            <w:tcW w:w="1287" w:type="dxa"/>
            <w:shd w:val="clear" w:color="auto" w:fill="92D050"/>
            <w:vAlign w:val="center"/>
          </w:tcPr>
          <w:p w14:paraId="6CC485F6"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3-4</w:t>
            </w:r>
          </w:p>
        </w:tc>
        <w:tc>
          <w:tcPr>
            <w:tcW w:w="3260" w:type="dxa"/>
            <w:shd w:val="clear" w:color="auto" w:fill="92D050"/>
            <w:vAlign w:val="center"/>
          </w:tcPr>
          <w:p w14:paraId="4A541671"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«Приемлемый риск»</w:t>
            </w:r>
          </w:p>
        </w:tc>
        <w:tc>
          <w:tcPr>
            <w:tcW w:w="2495" w:type="dxa"/>
            <w:shd w:val="clear" w:color="auto" w:fill="92D050"/>
          </w:tcPr>
          <w:p w14:paraId="16EDD26E"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«Очень хорошо»</w:t>
            </w:r>
          </w:p>
        </w:tc>
      </w:tr>
      <w:tr w:rsidR="00B06B6F" w:rsidRPr="00FC7951" w14:paraId="29944C4D" w14:textId="77777777" w:rsidTr="001746C7">
        <w:trPr>
          <w:jc w:val="center"/>
        </w:trPr>
        <w:tc>
          <w:tcPr>
            <w:tcW w:w="2734" w:type="dxa"/>
            <w:shd w:val="clear" w:color="auto" w:fill="92D050"/>
            <w:vAlign w:val="center"/>
          </w:tcPr>
          <w:p w14:paraId="10D3BD0E"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0,85-1</w:t>
            </w:r>
          </w:p>
        </w:tc>
        <w:tc>
          <w:tcPr>
            <w:tcW w:w="1287" w:type="dxa"/>
            <w:shd w:val="clear" w:color="auto" w:fill="92D050"/>
            <w:vAlign w:val="center"/>
          </w:tcPr>
          <w:p w14:paraId="26087D48" w14:textId="77777777" w:rsidR="00B06B6F" w:rsidRPr="00FC7951" w:rsidRDefault="00B06B6F" w:rsidP="00725F19">
            <w:pPr>
              <w:keepNext/>
              <w:spacing w:after="60"/>
              <w:jc w:val="center"/>
              <w:rPr>
                <w:rFonts w:ascii="Times New Roman" w:hAnsi="Times New Roman" w:cs="Times New Roman"/>
                <w:b/>
                <w:bCs/>
              </w:rPr>
            </w:pPr>
            <w:r w:rsidRPr="00FC7951">
              <w:rPr>
                <w:rFonts w:ascii="Times New Roman" w:hAnsi="Times New Roman" w:cs="Times New Roman"/>
                <w:b/>
                <w:bCs/>
              </w:rPr>
              <w:t>4-5</w:t>
            </w:r>
          </w:p>
        </w:tc>
        <w:tc>
          <w:tcPr>
            <w:tcW w:w="3260" w:type="dxa"/>
            <w:shd w:val="clear" w:color="auto" w:fill="92D050"/>
            <w:vAlign w:val="center"/>
          </w:tcPr>
          <w:p w14:paraId="2EBAF9AA" w14:textId="77777777" w:rsidR="00B06B6F" w:rsidRPr="00FC7951" w:rsidRDefault="00B06B6F" w:rsidP="00725F19">
            <w:pPr>
              <w:keepNext/>
              <w:spacing w:after="60"/>
              <w:jc w:val="center"/>
              <w:rPr>
                <w:rFonts w:ascii="Times New Roman" w:hAnsi="Times New Roman" w:cs="Times New Roman"/>
                <w:bCs/>
              </w:rPr>
            </w:pPr>
            <w:r w:rsidRPr="00FC7951">
              <w:rPr>
                <w:rFonts w:ascii="Times New Roman" w:hAnsi="Times New Roman" w:cs="Times New Roman"/>
                <w:bCs/>
              </w:rPr>
              <w:t>«Минимальный риск»</w:t>
            </w:r>
          </w:p>
        </w:tc>
        <w:tc>
          <w:tcPr>
            <w:tcW w:w="2495" w:type="dxa"/>
            <w:shd w:val="clear" w:color="auto" w:fill="92D050"/>
          </w:tcPr>
          <w:p w14:paraId="5608C5AC" w14:textId="77777777" w:rsidR="00B06B6F" w:rsidRPr="00FC7951" w:rsidRDefault="00B06B6F" w:rsidP="00725F19">
            <w:pPr>
              <w:keepNext/>
              <w:spacing w:after="60"/>
              <w:jc w:val="center"/>
              <w:rPr>
                <w:rFonts w:ascii="Times New Roman" w:hAnsi="Times New Roman" w:cs="Times New Roman"/>
              </w:rPr>
            </w:pPr>
            <w:r w:rsidRPr="00FC7951">
              <w:rPr>
                <w:rFonts w:ascii="Times New Roman" w:hAnsi="Times New Roman" w:cs="Times New Roman"/>
              </w:rPr>
              <w:t>«Отлично»</w:t>
            </w:r>
          </w:p>
        </w:tc>
      </w:tr>
    </w:tbl>
    <w:p w14:paraId="393FE045" w14:textId="77777777" w:rsidR="00B06B6F" w:rsidRPr="001746C7" w:rsidRDefault="00B06B6F" w:rsidP="00725F19">
      <w:pPr>
        <w:pStyle w:val="ac"/>
        <w:numPr>
          <w:ilvl w:val="1"/>
          <w:numId w:val="1"/>
        </w:numPr>
        <w:tabs>
          <w:tab w:val="left" w:pos="1134"/>
        </w:tabs>
        <w:spacing w:before="120" w:after="120"/>
        <w:ind w:left="0" w:firstLine="709"/>
        <w:jc w:val="both"/>
      </w:pPr>
      <w:r w:rsidRPr="00FC7951">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Порядок применения положений Методики в отношении индивидуальных предпринимателей определен в разделе 4 приложения 2 к Методике.</w:t>
      </w:r>
    </w:p>
    <w:p w14:paraId="628B76AE" w14:textId="77777777" w:rsidR="00B06B6F" w:rsidRPr="00FC7951" w:rsidRDefault="00B06B6F" w:rsidP="00725F19">
      <w:pPr>
        <w:pStyle w:val="1"/>
        <w:tabs>
          <w:tab w:val="clear" w:pos="1353"/>
          <w:tab w:val="left" w:pos="1134"/>
        </w:tabs>
        <w:ind w:left="0" w:firstLine="709"/>
      </w:pPr>
      <w:bookmarkStart w:id="29" w:name="_Toc107244338"/>
      <w:bookmarkStart w:id="30" w:name="_Toc107247777"/>
      <w:r w:rsidRPr="00FC7951">
        <w:t>НОРМАТИВНЫЕ ССЫЛКИ</w:t>
      </w:r>
      <w:r w:rsidRPr="00FC7951">
        <w:rPr>
          <w:rStyle w:val="af7"/>
          <w:b w:val="0"/>
        </w:rPr>
        <w:footnoteReference w:id="2"/>
      </w:r>
      <w:bookmarkEnd w:id="29"/>
      <w:bookmarkEnd w:id="30"/>
    </w:p>
    <w:p w14:paraId="1B54D338" w14:textId="77777777" w:rsidR="00B06B6F" w:rsidRPr="00FC7951" w:rsidRDefault="00B06B6F" w:rsidP="00725F19">
      <w:pPr>
        <w:pStyle w:val="m3"/>
        <w:numPr>
          <w:ilvl w:val="2"/>
          <w:numId w:val="1"/>
        </w:numPr>
        <w:ind w:left="851" w:hanging="851"/>
      </w:pPr>
      <w:proofErr w:type="spellStart"/>
      <w:r w:rsidRPr="00FC7951">
        <w:t>Внешние</w:t>
      </w:r>
      <w:proofErr w:type="spellEnd"/>
      <w:r w:rsidRPr="00FC7951">
        <w:t xml:space="preserve"> </w:t>
      </w:r>
      <w:proofErr w:type="spellStart"/>
      <w:r w:rsidRPr="00FC7951">
        <w:t>нормативные</w:t>
      </w:r>
      <w:proofErr w:type="spellEnd"/>
      <w:r w:rsidRPr="00FC7951">
        <w:t xml:space="preserve"> </w:t>
      </w:r>
      <w:proofErr w:type="spellStart"/>
      <w:r w:rsidRPr="00FC7951">
        <w:t>документы</w:t>
      </w:r>
      <w:proofErr w:type="spellEnd"/>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360"/>
        <w:gridCol w:w="3013"/>
        <w:gridCol w:w="6687"/>
      </w:tblGrid>
      <w:tr w:rsidR="00B06B6F" w:rsidRPr="00FC7951" w14:paraId="00DC0289" w14:textId="77777777" w:rsidTr="00FC7951">
        <w:trPr>
          <w:cantSplit/>
          <w:tblHeader/>
        </w:trPr>
        <w:tc>
          <w:tcPr>
            <w:tcW w:w="360" w:type="dxa"/>
            <w:shd w:val="clear" w:color="auto" w:fill="D9D9D9"/>
            <w:vAlign w:val="center"/>
          </w:tcPr>
          <w:p w14:paraId="2037D54D" w14:textId="77777777" w:rsidR="00B06B6F" w:rsidRPr="00FC7951" w:rsidRDefault="00B06B6F" w:rsidP="00725F19">
            <w:pPr>
              <w:pStyle w:val="m5"/>
            </w:pPr>
            <w:r w:rsidRPr="00FC7951">
              <w:t>№ п/п</w:t>
            </w:r>
          </w:p>
        </w:tc>
        <w:tc>
          <w:tcPr>
            <w:tcW w:w="3013" w:type="dxa"/>
            <w:shd w:val="clear" w:color="auto" w:fill="D9D9D9"/>
            <w:vAlign w:val="center"/>
          </w:tcPr>
          <w:p w14:paraId="18FEA92A" w14:textId="77777777" w:rsidR="00B06B6F" w:rsidRPr="00FC7951" w:rsidRDefault="00B06B6F" w:rsidP="00725F19">
            <w:pPr>
              <w:pStyle w:val="m5"/>
            </w:pPr>
            <w:r w:rsidRPr="00FC7951">
              <w:t>Номер и Дата документа</w:t>
            </w:r>
          </w:p>
        </w:tc>
        <w:tc>
          <w:tcPr>
            <w:tcW w:w="6687" w:type="dxa"/>
            <w:shd w:val="clear" w:color="auto" w:fill="D9D9D9"/>
            <w:vAlign w:val="center"/>
          </w:tcPr>
          <w:p w14:paraId="7CAC80F4" w14:textId="77777777" w:rsidR="00B06B6F" w:rsidRPr="00FC7951" w:rsidRDefault="00B06B6F" w:rsidP="00725F19">
            <w:pPr>
              <w:pStyle w:val="m5"/>
            </w:pPr>
            <w:r w:rsidRPr="00FC7951">
              <w:t>Наименование документа</w:t>
            </w:r>
          </w:p>
        </w:tc>
      </w:tr>
      <w:tr w:rsidR="00B06B6F" w:rsidRPr="00FC7951" w14:paraId="357D83D3" w14:textId="77777777" w:rsidTr="00FC7951">
        <w:trPr>
          <w:cantSplit/>
          <w:trHeight w:val="284"/>
        </w:trPr>
        <w:tc>
          <w:tcPr>
            <w:tcW w:w="360" w:type="dxa"/>
            <w:vAlign w:val="center"/>
          </w:tcPr>
          <w:p w14:paraId="1359F8D8" w14:textId="77777777" w:rsidR="00B06B6F" w:rsidRPr="00FC7951" w:rsidRDefault="00B06B6F" w:rsidP="00725F19">
            <w:pPr>
              <w:pStyle w:val="m0"/>
              <w:jc w:val="center"/>
            </w:pPr>
            <w:r w:rsidRPr="00FC7951">
              <w:t>1</w:t>
            </w:r>
          </w:p>
        </w:tc>
        <w:tc>
          <w:tcPr>
            <w:tcW w:w="3013" w:type="dxa"/>
            <w:vAlign w:val="center"/>
          </w:tcPr>
          <w:p w14:paraId="7DAC3D59" w14:textId="77777777" w:rsidR="00B06B6F" w:rsidRPr="00FC7951" w:rsidRDefault="00B06B6F" w:rsidP="00725F19">
            <w:pPr>
              <w:pStyle w:val="m0"/>
            </w:pPr>
            <w:r w:rsidRPr="00FC7951">
              <w:t>-</w:t>
            </w:r>
          </w:p>
        </w:tc>
        <w:tc>
          <w:tcPr>
            <w:tcW w:w="6687" w:type="dxa"/>
            <w:vAlign w:val="center"/>
          </w:tcPr>
          <w:p w14:paraId="53BA8497" w14:textId="77777777" w:rsidR="00B06B6F" w:rsidRPr="00FC7951" w:rsidRDefault="00B06B6F" w:rsidP="00725F19">
            <w:pPr>
              <w:pStyle w:val="m0"/>
            </w:pPr>
            <w:r w:rsidRPr="00FC7951">
              <w:t>-</w:t>
            </w:r>
          </w:p>
        </w:tc>
      </w:tr>
    </w:tbl>
    <w:p w14:paraId="2B370FDE" w14:textId="77777777" w:rsidR="00B06B6F" w:rsidRPr="00FC7951" w:rsidRDefault="00B06B6F" w:rsidP="00725F19">
      <w:pPr>
        <w:pStyle w:val="ac"/>
        <w:keepNext/>
        <w:tabs>
          <w:tab w:val="left" w:pos="510"/>
        </w:tabs>
        <w:ind w:left="0"/>
        <w:contextualSpacing w:val="0"/>
        <w:jc w:val="both"/>
        <w:rPr>
          <w:b/>
        </w:rPr>
      </w:pPr>
    </w:p>
    <w:p w14:paraId="7A6885CC" w14:textId="77777777" w:rsidR="00B06B6F" w:rsidRPr="00FC7951" w:rsidRDefault="00B06B6F" w:rsidP="00725F19">
      <w:pPr>
        <w:pStyle w:val="ac"/>
        <w:keepNext/>
        <w:tabs>
          <w:tab w:val="left" w:pos="510"/>
        </w:tabs>
        <w:ind w:left="0"/>
        <w:contextualSpacing w:val="0"/>
        <w:jc w:val="both"/>
        <w:rPr>
          <w:b/>
          <w:vanish/>
        </w:rPr>
      </w:pPr>
    </w:p>
    <w:p w14:paraId="16E1CE42" w14:textId="77777777" w:rsidR="00B06B6F" w:rsidRPr="00FC7951" w:rsidRDefault="00B06B6F" w:rsidP="00725F19">
      <w:pPr>
        <w:pStyle w:val="m3"/>
        <w:numPr>
          <w:ilvl w:val="2"/>
          <w:numId w:val="1"/>
        </w:numPr>
        <w:ind w:left="851" w:hanging="851"/>
        <w:rPr>
          <w:lang w:val="ru-RU"/>
        </w:rPr>
      </w:pPr>
      <w:r w:rsidRPr="00FC7951">
        <w:rPr>
          <w:lang w:val="ru-RU"/>
        </w:rPr>
        <w:t>Внутренние нормативные и организационно-распорядительные документы</w:t>
      </w:r>
    </w:p>
    <w:tbl>
      <w:tblPr>
        <w:tblW w:w="9498" w:type="dxa"/>
        <w:tblInd w:w="-14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504"/>
        <w:gridCol w:w="2473"/>
        <w:gridCol w:w="6521"/>
      </w:tblGrid>
      <w:tr w:rsidR="00B06B6F" w:rsidRPr="00FC7951" w14:paraId="315937E1" w14:textId="77777777" w:rsidTr="0041278C">
        <w:trPr>
          <w:cantSplit/>
          <w:tblHeader/>
        </w:trPr>
        <w:tc>
          <w:tcPr>
            <w:tcW w:w="504" w:type="dxa"/>
            <w:shd w:val="clear" w:color="auto" w:fill="D9D9D9"/>
            <w:vAlign w:val="center"/>
          </w:tcPr>
          <w:p w14:paraId="6FB28A39" w14:textId="77777777" w:rsidR="00B06B6F" w:rsidRPr="00FC7951" w:rsidRDefault="00B06B6F" w:rsidP="00725F19">
            <w:pPr>
              <w:pStyle w:val="m5"/>
            </w:pPr>
            <w:r w:rsidRPr="00FC7951">
              <w:lastRenderedPageBreak/>
              <w:t>№ п/п</w:t>
            </w:r>
          </w:p>
        </w:tc>
        <w:tc>
          <w:tcPr>
            <w:tcW w:w="2473" w:type="dxa"/>
            <w:shd w:val="clear" w:color="auto" w:fill="D9D9D9"/>
            <w:vAlign w:val="center"/>
          </w:tcPr>
          <w:p w14:paraId="2F6D9B27" w14:textId="77777777" w:rsidR="00B06B6F" w:rsidRPr="00FC7951" w:rsidRDefault="00B06B6F" w:rsidP="00725F19">
            <w:pPr>
              <w:pStyle w:val="m5"/>
            </w:pPr>
            <w:r w:rsidRPr="00FC7951">
              <w:t>Номер ВНД или Номер ОРД,</w:t>
            </w:r>
          </w:p>
          <w:p w14:paraId="1AE5F71E" w14:textId="77777777" w:rsidR="00B06B6F" w:rsidRPr="00FC7951" w:rsidRDefault="00B06B6F" w:rsidP="00725F19">
            <w:pPr>
              <w:pStyle w:val="m5"/>
            </w:pPr>
            <w:r w:rsidRPr="00FC7951">
              <w:t>Дата ОРД</w:t>
            </w:r>
          </w:p>
        </w:tc>
        <w:tc>
          <w:tcPr>
            <w:tcW w:w="6521" w:type="dxa"/>
            <w:shd w:val="clear" w:color="auto" w:fill="D9D9D9"/>
            <w:vAlign w:val="center"/>
          </w:tcPr>
          <w:p w14:paraId="03460C79" w14:textId="77777777" w:rsidR="00B06B6F" w:rsidRPr="00FC7951" w:rsidRDefault="00B06B6F" w:rsidP="00725F19">
            <w:pPr>
              <w:pStyle w:val="m5"/>
            </w:pPr>
            <w:r w:rsidRPr="00FC7951">
              <w:t>Наименование документа</w:t>
            </w:r>
          </w:p>
        </w:tc>
      </w:tr>
      <w:tr w:rsidR="00B06B6F" w:rsidRPr="00FC7951" w14:paraId="12E2A97D" w14:textId="77777777" w:rsidTr="0041278C">
        <w:trPr>
          <w:cantSplit/>
          <w:trHeight w:val="284"/>
        </w:trPr>
        <w:tc>
          <w:tcPr>
            <w:tcW w:w="504" w:type="dxa"/>
            <w:vAlign w:val="center"/>
          </w:tcPr>
          <w:p w14:paraId="46C175E0" w14:textId="77777777" w:rsidR="00B06B6F" w:rsidRPr="00FC7951" w:rsidRDefault="00B06B6F" w:rsidP="00725F19">
            <w:pPr>
              <w:pStyle w:val="m0"/>
              <w:jc w:val="center"/>
            </w:pPr>
            <w:r w:rsidRPr="00FC7951">
              <w:t>1</w:t>
            </w:r>
          </w:p>
        </w:tc>
        <w:tc>
          <w:tcPr>
            <w:tcW w:w="2473" w:type="dxa"/>
            <w:vAlign w:val="center"/>
          </w:tcPr>
          <w:p w14:paraId="06D3F9A1" w14:textId="177262DB" w:rsidR="00B06B6F" w:rsidRPr="00FC7951" w:rsidRDefault="00D665C6" w:rsidP="00D665C6">
            <w:pPr>
              <w:pStyle w:val="m0"/>
            </w:pPr>
            <w:r>
              <w:t xml:space="preserve">Приказ № 124/01 от 05.08.2021 </w:t>
            </w:r>
          </w:p>
        </w:tc>
        <w:tc>
          <w:tcPr>
            <w:tcW w:w="6521" w:type="dxa"/>
            <w:vAlign w:val="center"/>
          </w:tcPr>
          <w:p w14:paraId="0D1C5482" w14:textId="55706A26" w:rsidR="00B06B6F" w:rsidRPr="00FC7951" w:rsidRDefault="00B06B6F" w:rsidP="00351B09">
            <w:pPr>
              <w:pStyle w:val="m0"/>
            </w:pPr>
            <w:r w:rsidRPr="00FC7951">
              <w:t xml:space="preserve">Политика снабжения </w:t>
            </w:r>
            <w:r w:rsidR="008303F7">
              <w:t>АО «ЕИРЦ ЛО»</w:t>
            </w:r>
            <w:r w:rsidR="00521C78">
              <w:t xml:space="preserve"> </w:t>
            </w:r>
            <w:r w:rsidR="00351B09" w:rsidRPr="00FC7951">
              <w:t>ПТ-001</w:t>
            </w:r>
            <w:r w:rsidR="00351B09">
              <w:t>-7</w:t>
            </w:r>
          </w:p>
        </w:tc>
      </w:tr>
      <w:tr w:rsidR="00B06B6F" w:rsidRPr="00FC7951" w14:paraId="22872544" w14:textId="77777777" w:rsidTr="0041278C">
        <w:trPr>
          <w:cantSplit/>
          <w:trHeight w:val="284"/>
        </w:trPr>
        <w:tc>
          <w:tcPr>
            <w:tcW w:w="504" w:type="dxa"/>
            <w:vAlign w:val="center"/>
          </w:tcPr>
          <w:p w14:paraId="1C8CE4F9" w14:textId="77777777" w:rsidR="00B06B6F" w:rsidRPr="00FC7951" w:rsidRDefault="00B06B6F" w:rsidP="00725F19">
            <w:pPr>
              <w:pStyle w:val="m0"/>
              <w:jc w:val="center"/>
            </w:pPr>
            <w:r w:rsidRPr="00FC7951">
              <w:t>2</w:t>
            </w:r>
          </w:p>
        </w:tc>
        <w:tc>
          <w:tcPr>
            <w:tcW w:w="2473" w:type="dxa"/>
            <w:vAlign w:val="center"/>
          </w:tcPr>
          <w:p w14:paraId="6438DFA6" w14:textId="7E08CC4E" w:rsidR="00B06B6F" w:rsidRPr="00FC7951" w:rsidRDefault="0022205E" w:rsidP="0022205E">
            <w:pPr>
              <w:pStyle w:val="m0"/>
            </w:pPr>
            <w:r>
              <w:t>Приказ № 1</w:t>
            </w:r>
            <w:r w:rsidR="003723EF">
              <w:t>03</w:t>
            </w:r>
            <w:r>
              <w:t xml:space="preserve">/01 </w:t>
            </w:r>
            <w:r w:rsidR="0041278C" w:rsidRPr="0022205E">
              <w:t>от 29.06.2021 г.</w:t>
            </w:r>
          </w:p>
        </w:tc>
        <w:tc>
          <w:tcPr>
            <w:tcW w:w="6521" w:type="dxa"/>
            <w:vAlign w:val="center"/>
          </w:tcPr>
          <w:p w14:paraId="74E8D02C" w14:textId="18DF3DA5" w:rsidR="00B06B6F" w:rsidRPr="00FC7951" w:rsidRDefault="00AF11D2" w:rsidP="0041278C">
            <w:pPr>
              <w:pStyle w:val="m0"/>
            </w:pPr>
            <w:r w:rsidRPr="00AF11D2">
              <w:t>Положение о порядке проведения регламентированных закупок товаров, работ, услуг для нужд АО «ЕИРЦ ЛО»</w:t>
            </w:r>
          </w:p>
        </w:tc>
      </w:tr>
      <w:tr w:rsidR="00B06B6F" w:rsidRPr="00FC7951" w14:paraId="4D569E7E" w14:textId="77777777" w:rsidTr="0041278C">
        <w:trPr>
          <w:cantSplit/>
          <w:trHeight w:val="284"/>
        </w:trPr>
        <w:tc>
          <w:tcPr>
            <w:tcW w:w="504" w:type="dxa"/>
            <w:vAlign w:val="center"/>
          </w:tcPr>
          <w:p w14:paraId="35AD7027" w14:textId="77777777" w:rsidR="00B06B6F" w:rsidRPr="00FC7951" w:rsidRDefault="00B06B6F" w:rsidP="00725F19">
            <w:pPr>
              <w:pStyle w:val="m0"/>
              <w:jc w:val="center"/>
            </w:pPr>
            <w:r w:rsidRPr="00FC7951">
              <w:t>3</w:t>
            </w:r>
          </w:p>
        </w:tc>
        <w:tc>
          <w:tcPr>
            <w:tcW w:w="2473" w:type="dxa"/>
            <w:vAlign w:val="center"/>
          </w:tcPr>
          <w:p w14:paraId="59B468D3" w14:textId="5EC01B45" w:rsidR="00B06B6F" w:rsidRPr="00FC7951" w:rsidRDefault="00D34A11" w:rsidP="00D34A11">
            <w:pPr>
              <w:pStyle w:val="m0"/>
            </w:pPr>
            <w:r>
              <w:t xml:space="preserve">Приказ № 79/01 </w:t>
            </w:r>
            <w:r w:rsidR="00521C78">
              <w:t xml:space="preserve">от </w:t>
            </w:r>
            <w:r w:rsidR="00521C78" w:rsidRPr="00521C78">
              <w:t>29.04.2022 г</w:t>
            </w:r>
            <w:r w:rsidR="00521C78">
              <w:t>.</w:t>
            </w:r>
          </w:p>
        </w:tc>
        <w:tc>
          <w:tcPr>
            <w:tcW w:w="6521" w:type="dxa"/>
            <w:vAlign w:val="center"/>
          </w:tcPr>
          <w:p w14:paraId="79264CA0" w14:textId="7973DF8B" w:rsidR="00B06B6F" w:rsidRPr="00FC7951" w:rsidRDefault="00B06B6F" w:rsidP="00AF11D2">
            <w:pPr>
              <w:pStyle w:val="m0"/>
            </w:pPr>
            <w:r w:rsidRPr="00FC7951">
              <w:t xml:space="preserve">Регламент процесса </w:t>
            </w:r>
            <w:r w:rsidR="00AF11D2" w:rsidRPr="00FC7951">
              <w:t>РП-014</w:t>
            </w:r>
            <w:r w:rsidR="00AF11D2">
              <w:t>-8</w:t>
            </w:r>
            <w:r w:rsidR="00AF11D2" w:rsidRPr="00FC7951">
              <w:t xml:space="preserve"> </w:t>
            </w:r>
            <w:r w:rsidRPr="00FC7951">
              <w:t>«Проведение экспертной оценки заявок на участие в закупке»</w:t>
            </w:r>
            <w:r w:rsidR="00521C78">
              <w:t xml:space="preserve"> </w:t>
            </w:r>
          </w:p>
        </w:tc>
      </w:tr>
      <w:tr w:rsidR="00B06B6F" w:rsidRPr="00FC7951" w14:paraId="417C887F" w14:textId="77777777" w:rsidTr="0041278C">
        <w:trPr>
          <w:cantSplit/>
          <w:trHeight w:val="284"/>
        </w:trPr>
        <w:tc>
          <w:tcPr>
            <w:tcW w:w="504" w:type="dxa"/>
            <w:vAlign w:val="center"/>
          </w:tcPr>
          <w:p w14:paraId="0F0B3818" w14:textId="77777777" w:rsidR="00B06B6F" w:rsidRPr="00FC7951" w:rsidRDefault="00B06B6F" w:rsidP="00725F19">
            <w:pPr>
              <w:pStyle w:val="m0"/>
              <w:jc w:val="center"/>
            </w:pPr>
            <w:r w:rsidRPr="00FC7951">
              <w:t>4</w:t>
            </w:r>
          </w:p>
        </w:tc>
        <w:tc>
          <w:tcPr>
            <w:tcW w:w="2473" w:type="dxa"/>
            <w:vAlign w:val="center"/>
          </w:tcPr>
          <w:p w14:paraId="3C73AEE9" w14:textId="4F79AAEF" w:rsidR="00B06B6F" w:rsidRPr="00FC7951" w:rsidRDefault="00076CE3" w:rsidP="00725F19">
            <w:pPr>
              <w:pStyle w:val="m0"/>
            </w:pPr>
            <w:r>
              <w:t xml:space="preserve">Приказ № 78/01 </w:t>
            </w:r>
            <w:r w:rsidR="00521C78">
              <w:t xml:space="preserve">от </w:t>
            </w:r>
            <w:r w:rsidR="00521C78" w:rsidRPr="00521C78">
              <w:t>29.04.2022 г</w:t>
            </w:r>
            <w:r w:rsidR="00521C78">
              <w:t>.</w:t>
            </w:r>
          </w:p>
        </w:tc>
        <w:tc>
          <w:tcPr>
            <w:tcW w:w="6521" w:type="dxa"/>
            <w:vAlign w:val="center"/>
          </w:tcPr>
          <w:p w14:paraId="7BA7BEE4" w14:textId="14402386" w:rsidR="00521C78" w:rsidRDefault="00B06B6F" w:rsidP="00725F19">
            <w:pPr>
              <w:pStyle w:val="m0"/>
            </w:pPr>
            <w:r w:rsidRPr="00FC7951">
              <w:t>Регламент процесса</w:t>
            </w:r>
            <w:r w:rsidR="00AF11D2">
              <w:t xml:space="preserve"> </w:t>
            </w:r>
            <w:r w:rsidR="00AF11D2" w:rsidRPr="00521C78">
              <w:t>РП-017-14</w:t>
            </w:r>
            <w:r w:rsidR="00AF11D2">
              <w:t xml:space="preserve"> </w:t>
            </w:r>
            <w:r w:rsidRPr="00FC7951">
              <w:t>«Проведение закупочных процедур»</w:t>
            </w:r>
            <w:r w:rsidR="00521C78">
              <w:t xml:space="preserve"> </w:t>
            </w:r>
          </w:p>
          <w:p w14:paraId="3D09F158" w14:textId="7945890D" w:rsidR="00B06B6F" w:rsidRPr="00FC7951" w:rsidRDefault="00521C78" w:rsidP="00725F19">
            <w:pPr>
              <w:pStyle w:val="m0"/>
            </w:pPr>
            <w:r w:rsidRPr="00521C78">
              <w:t>АО «ЕИРЦ ЛО»</w:t>
            </w:r>
          </w:p>
        </w:tc>
      </w:tr>
      <w:tr w:rsidR="00B06B6F" w:rsidRPr="00FC7951" w14:paraId="6F180737" w14:textId="77777777" w:rsidTr="0041278C">
        <w:trPr>
          <w:cantSplit/>
          <w:trHeight w:val="284"/>
        </w:trPr>
        <w:tc>
          <w:tcPr>
            <w:tcW w:w="504" w:type="dxa"/>
            <w:vAlign w:val="center"/>
          </w:tcPr>
          <w:p w14:paraId="618D4D92" w14:textId="77777777" w:rsidR="00B06B6F" w:rsidRPr="00FC7951" w:rsidRDefault="00507E0D" w:rsidP="00725F19">
            <w:pPr>
              <w:pStyle w:val="m0"/>
              <w:jc w:val="center"/>
            </w:pPr>
            <w:r>
              <w:t>5</w:t>
            </w:r>
          </w:p>
        </w:tc>
        <w:tc>
          <w:tcPr>
            <w:tcW w:w="2473" w:type="dxa"/>
            <w:vAlign w:val="center"/>
          </w:tcPr>
          <w:p w14:paraId="04E5C74A" w14:textId="53E27CC8" w:rsidR="00B06B6F" w:rsidRPr="00FC7951" w:rsidRDefault="00EB592A" w:rsidP="00725F19">
            <w:pPr>
              <w:pStyle w:val="m0"/>
            </w:pPr>
            <w:r>
              <w:t xml:space="preserve">Приказ № 13/01 </w:t>
            </w:r>
            <w:r w:rsidR="00CF1F63">
              <w:t xml:space="preserve">от </w:t>
            </w:r>
            <w:r w:rsidR="00CF1F63" w:rsidRPr="00CF1F63">
              <w:t>19.01.2021</w:t>
            </w:r>
            <w:r w:rsidR="00CF1F63">
              <w:t xml:space="preserve"> г.</w:t>
            </w:r>
          </w:p>
        </w:tc>
        <w:tc>
          <w:tcPr>
            <w:tcW w:w="6521" w:type="dxa"/>
            <w:vAlign w:val="center"/>
          </w:tcPr>
          <w:p w14:paraId="7E1B0EE9" w14:textId="70D2761E" w:rsidR="00B06B6F" w:rsidRPr="00FC7951" w:rsidRDefault="00B06B6F" w:rsidP="00AF11D2">
            <w:pPr>
              <w:pStyle w:val="m0"/>
            </w:pPr>
            <w:r w:rsidRPr="00FC7951">
              <w:t>Регламент процесса</w:t>
            </w:r>
            <w:r w:rsidR="00AF11D2">
              <w:t xml:space="preserve"> </w:t>
            </w:r>
            <w:r w:rsidR="00AF11D2" w:rsidRPr="00FC7951">
              <w:t>РП-015</w:t>
            </w:r>
            <w:r w:rsidR="00AF11D2">
              <w:t xml:space="preserve">-10 </w:t>
            </w:r>
            <w:r w:rsidRPr="00FC7951">
              <w:t xml:space="preserve">«Работа Центрального закупочного комитета </w:t>
            </w:r>
            <w:r w:rsidR="00CF1F63" w:rsidRPr="00CF1F63">
              <w:t>АО «ЕИРЦ ЛО»</w:t>
            </w:r>
            <w:r w:rsidR="00CF1F63">
              <w:t xml:space="preserve"> </w:t>
            </w:r>
          </w:p>
        </w:tc>
      </w:tr>
      <w:tr w:rsidR="00B06B6F" w:rsidRPr="00FC7951" w14:paraId="7C923B1C" w14:textId="77777777" w:rsidTr="0041278C">
        <w:trPr>
          <w:cantSplit/>
          <w:trHeight w:val="284"/>
        </w:trPr>
        <w:tc>
          <w:tcPr>
            <w:tcW w:w="504" w:type="dxa"/>
            <w:vAlign w:val="center"/>
          </w:tcPr>
          <w:p w14:paraId="07D9AB84" w14:textId="77777777" w:rsidR="00B06B6F" w:rsidRPr="00FC7951" w:rsidRDefault="00507E0D" w:rsidP="00725F19">
            <w:pPr>
              <w:pStyle w:val="m0"/>
              <w:jc w:val="center"/>
            </w:pPr>
            <w:r>
              <w:t>6</w:t>
            </w:r>
          </w:p>
        </w:tc>
        <w:tc>
          <w:tcPr>
            <w:tcW w:w="2473" w:type="dxa"/>
            <w:vAlign w:val="center"/>
          </w:tcPr>
          <w:p w14:paraId="44959509" w14:textId="6A9FDACC" w:rsidR="00B06B6F" w:rsidRPr="00FC7951" w:rsidRDefault="00615A2B" w:rsidP="00615A2B">
            <w:pPr>
              <w:pStyle w:val="m0"/>
            </w:pPr>
            <w:r>
              <w:t>Приказ № 66/01</w:t>
            </w:r>
            <w:r w:rsidR="00E45BAE">
              <w:t xml:space="preserve"> от 14.04.2022 г.</w:t>
            </w:r>
          </w:p>
        </w:tc>
        <w:tc>
          <w:tcPr>
            <w:tcW w:w="6521" w:type="dxa"/>
            <w:vAlign w:val="center"/>
          </w:tcPr>
          <w:p w14:paraId="398348F2" w14:textId="2A17A31C" w:rsidR="00B06B6F" w:rsidRPr="00FC7951" w:rsidRDefault="00B06B6F" w:rsidP="00AF11D2">
            <w:pPr>
              <w:pStyle w:val="m0"/>
            </w:pPr>
            <w:r w:rsidRPr="00FC7951">
              <w:t xml:space="preserve">Регламент процесса </w:t>
            </w:r>
            <w:r w:rsidR="00AF11D2" w:rsidRPr="006145DA">
              <w:t>РП-113-6</w:t>
            </w:r>
            <w:r w:rsidR="00AF11D2" w:rsidRPr="00FC7951">
              <w:t xml:space="preserve"> </w:t>
            </w:r>
            <w:r w:rsidRPr="00FC7951">
              <w:t>«Проведение упрощённой процедуры закупки»</w:t>
            </w:r>
            <w:r w:rsidR="00E45BAE">
              <w:t xml:space="preserve"> </w:t>
            </w:r>
            <w:r w:rsidR="00E45BAE" w:rsidRPr="00521C78">
              <w:t>АО «ЕИРЦ ЛО»</w:t>
            </w:r>
          </w:p>
        </w:tc>
      </w:tr>
      <w:tr w:rsidR="00B06B6F" w:rsidRPr="00FC7951" w14:paraId="313871DE" w14:textId="77777777" w:rsidTr="0041278C">
        <w:trPr>
          <w:cantSplit/>
          <w:trHeight w:val="284"/>
        </w:trPr>
        <w:tc>
          <w:tcPr>
            <w:tcW w:w="504" w:type="dxa"/>
            <w:vAlign w:val="center"/>
          </w:tcPr>
          <w:p w14:paraId="10F2A127" w14:textId="77777777" w:rsidR="00B06B6F" w:rsidRPr="00FC7951" w:rsidRDefault="00507E0D" w:rsidP="00725F19">
            <w:pPr>
              <w:pStyle w:val="m0"/>
              <w:jc w:val="center"/>
            </w:pPr>
            <w:r>
              <w:t>7</w:t>
            </w:r>
          </w:p>
        </w:tc>
        <w:tc>
          <w:tcPr>
            <w:tcW w:w="2473" w:type="dxa"/>
            <w:vAlign w:val="center"/>
          </w:tcPr>
          <w:p w14:paraId="471D11EF" w14:textId="796B6E04" w:rsidR="00B06B6F" w:rsidRPr="00FC7951" w:rsidRDefault="006145DA" w:rsidP="006145DA">
            <w:pPr>
              <w:pStyle w:val="m0"/>
            </w:pPr>
            <w:r>
              <w:t xml:space="preserve">Приказ № </w:t>
            </w:r>
            <w:r w:rsidRPr="006145DA">
              <w:t>56/01</w:t>
            </w:r>
            <w:r w:rsidR="00B06B6F" w:rsidRPr="00FC7951">
              <w:t xml:space="preserve"> от </w:t>
            </w:r>
            <w:r>
              <w:t>26.04</w:t>
            </w:r>
            <w:r w:rsidR="00B06B6F" w:rsidRPr="00FC7951">
              <w:t>.2021</w:t>
            </w:r>
          </w:p>
        </w:tc>
        <w:tc>
          <w:tcPr>
            <w:tcW w:w="6521" w:type="dxa"/>
            <w:vAlign w:val="center"/>
          </w:tcPr>
          <w:p w14:paraId="4145E394" w14:textId="6348FD61" w:rsidR="00B06B6F" w:rsidRPr="00FC7951" w:rsidRDefault="00B06B6F" w:rsidP="00792317">
            <w:pPr>
              <w:pStyle w:val="m0"/>
            </w:pPr>
            <w:r w:rsidRPr="00FC7951">
              <w:t>Приказ</w:t>
            </w:r>
            <w:r w:rsidR="00792317">
              <w:t xml:space="preserve"> </w:t>
            </w:r>
            <w:r w:rsidRPr="00FC7951">
              <w:t>«Об утверждении типовых формулировок обеспечения исполнения договора при проведении закупочных процедур до 5 000 000.00 руб. (включительно)»</w:t>
            </w:r>
          </w:p>
        </w:tc>
      </w:tr>
    </w:tbl>
    <w:p w14:paraId="5D7527F7" w14:textId="77777777" w:rsidR="00B06B6F" w:rsidRPr="00FC7951" w:rsidRDefault="00B06B6F" w:rsidP="00725F19">
      <w:pPr>
        <w:pStyle w:val="1"/>
        <w:numPr>
          <w:ilvl w:val="0"/>
          <w:numId w:val="0"/>
        </w:numPr>
        <w:tabs>
          <w:tab w:val="left" w:pos="1134"/>
        </w:tabs>
      </w:pPr>
    </w:p>
    <w:p w14:paraId="728B1228" w14:textId="77777777" w:rsidR="00B06B6F" w:rsidRPr="00FC7951" w:rsidRDefault="00B06B6F" w:rsidP="00725F19">
      <w:pPr>
        <w:pStyle w:val="1"/>
        <w:tabs>
          <w:tab w:val="clear" w:pos="1353"/>
          <w:tab w:val="left" w:pos="1134"/>
          <w:tab w:val="num" w:pos="1418"/>
        </w:tabs>
        <w:ind w:left="0" w:firstLine="709"/>
      </w:pPr>
      <w:bookmarkStart w:id="31" w:name="_Toc107244339"/>
      <w:bookmarkStart w:id="32" w:name="_Toc107247778"/>
      <w:r w:rsidRPr="00FC7951">
        <w:t>КОНТРОЛЬ ВЕРСИЙ ДОКУМЕНТА</w:t>
      </w:r>
      <w:bookmarkEnd w:id="31"/>
      <w:bookmarkEnd w:id="32"/>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16"/>
        <w:gridCol w:w="4443"/>
        <w:gridCol w:w="2924"/>
      </w:tblGrid>
      <w:tr w:rsidR="00507E0D" w:rsidRPr="00507E0D" w14:paraId="2154309A"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D9D9D9"/>
            <w:vAlign w:val="center"/>
          </w:tcPr>
          <w:p w14:paraId="5C448A28"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Times New Roman" w:hAnsi="Times New Roman" w:cs="Times New Roman"/>
                <w:b/>
                <w:sz w:val="20"/>
                <w:szCs w:val="20"/>
                <w:lang w:eastAsia="ru-RU"/>
              </w:rPr>
              <w:t>Версия</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C7503A9"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Times New Roman" w:hAnsi="Times New Roman" w:cs="Times New Roman"/>
                <w:b/>
                <w:sz w:val="20"/>
                <w:szCs w:val="20"/>
                <w:lang w:eastAsia="ru-RU"/>
              </w:rPr>
              <w:t>Дата</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01A5026"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Calibri" w:hAnsi="Times New Roman" w:cs="Times New Roman"/>
                <w:b/>
                <w:sz w:val="20"/>
                <w:szCs w:val="24"/>
                <w:lang w:eastAsia="ru-RU"/>
              </w:rPr>
              <w:t>Должность Ответственного за разработку ВНД</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C818EE8"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Calibri" w:hAnsi="Times New Roman" w:cs="Times New Roman"/>
                <w:b/>
                <w:sz w:val="20"/>
                <w:szCs w:val="24"/>
                <w:lang w:eastAsia="ru-RU"/>
              </w:rPr>
              <w:t>ФИО Ответственного за разработку ВНД</w:t>
            </w:r>
          </w:p>
        </w:tc>
      </w:tr>
      <w:tr w:rsidR="00507E0D" w:rsidRPr="00507E0D" w14:paraId="0FE2B11B"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14:paraId="35D94103"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9FEB5A"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15.06.2021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14BEAE"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Начальник отдела сопровождения договорной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E3CAA9" w14:textId="158F7B00"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p>
        </w:tc>
      </w:tr>
      <w:tr w:rsidR="00507E0D" w:rsidRPr="00507E0D" w14:paraId="20894DD4"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14:paraId="06B10818"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90256F"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01.08.2022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F8ED50" w14:textId="2E82E79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Юрисконсульт 2 категории</w:t>
            </w:r>
            <w:r w:rsidR="00E477CA">
              <w:rPr>
                <w:rFonts w:ascii="Times New Roman" w:eastAsia="Times New Roman" w:hAnsi="Times New Roman" w:cs="Times New Roman"/>
                <w:sz w:val="20"/>
                <w:szCs w:val="20"/>
                <w:lang w:eastAsia="ru-RU"/>
              </w:rPr>
              <w:t xml:space="preserve"> </w:t>
            </w:r>
            <w:r w:rsidR="00E477CA" w:rsidRPr="00E477CA">
              <w:rPr>
                <w:rFonts w:ascii="Times New Roman" w:eastAsia="Times New Roman" w:hAnsi="Times New Roman" w:cs="Times New Roman"/>
                <w:sz w:val="20"/>
                <w:szCs w:val="20"/>
                <w:lang w:eastAsia="ru-RU"/>
              </w:rPr>
              <w:t>отдела сопровождения договорной деятельности</w:t>
            </w:r>
          </w:p>
          <w:p w14:paraId="1CB4F5AC" w14:textId="77777777" w:rsidR="00507E0D" w:rsidRPr="00507E0D" w:rsidRDefault="00507E0D" w:rsidP="00725F19">
            <w:pPr>
              <w:spacing w:before="60" w:after="6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198A1" w14:textId="3C6E6540"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p>
        </w:tc>
      </w:tr>
    </w:tbl>
    <w:p w14:paraId="4E7B82B9" w14:textId="77777777" w:rsidR="00B06B6F" w:rsidRPr="00FC7951" w:rsidRDefault="00B06B6F" w:rsidP="001746C7">
      <w:pPr>
        <w:tabs>
          <w:tab w:val="left" w:pos="1134"/>
        </w:tabs>
      </w:pPr>
    </w:p>
    <w:p w14:paraId="7352E2B3" w14:textId="77777777" w:rsidR="00B06B6F" w:rsidRPr="00FC7951" w:rsidRDefault="00B06B6F" w:rsidP="00725F19">
      <w:pPr>
        <w:pStyle w:val="1"/>
        <w:tabs>
          <w:tab w:val="clear" w:pos="1353"/>
          <w:tab w:val="left" w:pos="1134"/>
        </w:tabs>
        <w:ind w:left="0" w:firstLine="709"/>
      </w:pPr>
      <w:bookmarkStart w:id="33" w:name="_Toc107244340"/>
      <w:bookmarkStart w:id="34" w:name="_Toc107247779"/>
      <w:r w:rsidRPr="00FC7951">
        <w:t>ПРИЛОЖЕНИЯ</w:t>
      </w:r>
      <w:bookmarkEnd w:id="33"/>
      <w:bookmarkEnd w:id="34"/>
    </w:p>
    <w:p w14:paraId="4DCFD1A8" w14:textId="77777777" w:rsidR="00B06B6F" w:rsidRPr="001746C7" w:rsidRDefault="00B06B6F" w:rsidP="00725F19">
      <w:pPr>
        <w:widowControl w:val="0"/>
        <w:tabs>
          <w:tab w:val="left" w:pos="1134"/>
        </w:tabs>
        <w:spacing w:after="60"/>
        <w:ind w:firstLine="709"/>
        <w:contextualSpacing/>
        <w:jc w:val="both"/>
        <w:rPr>
          <w:rFonts w:ascii="Times New Roman" w:eastAsia="Calibri" w:hAnsi="Times New Roman" w:cs="Times New Roman"/>
          <w:sz w:val="24"/>
          <w:szCs w:val="24"/>
        </w:rPr>
      </w:pPr>
      <w:r w:rsidRPr="001746C7">
        <w:rPr>
          <w:rFonts w:ascii="Times New Roman" w:eastAsia="Calibri" w:hAnsi="Times New Roman" w:cs="Times New Roman"/>
          <w:sz w:val="24"/>
          <w:szCs w:val="24"/>
        </w:rPr>
        <w:t xml:space="preserve">Приложения согласуются и утверждаются в упрощенном порядке: </w:t>
      </w:r>
    </w:p>
    <w:p w14:paraId="38AAF1C6" w14:textId="77777777" w:rsidR="00B06B6F" w:rsidRPr="001746C7" w:rsidRDefault="00B06B6F" w:rsidP="00725F19">
      <w:pPr>
        <w:widowControl w:val="0"/>
        <w:tabs>
          <w:tab w:val="left" w:pos="1134"/>
        </w:tabs>
        <w:spacing w:after="60"/>
        <w:ind w:firstLine="709"/>
        <w:contextualSpacing/>
        <w:jc w:val="both"/>
        <w:rPr>
          <w:rFonts w:ascii="Times New Roman" w:eastAsia="Calibri" w:hAnsi="Times New Roman" w:cs="Times New Roman"/>
          <w:b/>
          <w:sz w:val="24"/>
          <w:szCs w:val="24"/>
        </w:rPr>
      </w:pPr>
      <w:r w:rsidRPr="001746C7">
        <w:rPr>
          <w:rFonts w:ascii="Times New Roman" w:eastAsia="Calibri" w:hAnsi="Times New Roman" w:cs="Times New Roman"/>
          <w:sz w:val="24"/>
          <w:szCs w:val="24"/>
        </w:rPr>
        <w:t>Приложение 1, Приложение 2, Приложение 3, Приложение 4.</w:t>
      </w:r>
    </w:p>
    <w:p w14:paraId="110A074F" w14:textId="77777777" w:rsidR="00B06B6F" w:rsidRPr="001746C7" w:rsidRDefault="00B06B6F" w:rsidP="00725F19">
      <w:pPr>
        <w:widowControl w:val="0"/>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sz w:val="24"/>
          <w:szCs w:val="24"/>
        </w:rPr>
        <w:t>Приложение 1. Разграничение функциональных обязанностей по проведению финансово-экономической экспертизы.</w:t>
      </w:r>
    </w:p>
    <w:p w14:paraId="48C71506" w14:textId="77777777" w:rsidR="00B06B6F" w:rsidRPr="001746C7" w:rsidRDefault="00B06B6F" w:rsidP="00725F19">
      <w:pPr>
        <w:widowControl w:val="0"/>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sz w:val="24"/>
          <w:szCs w:val="24"/>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«Финэкспертиза.xls».</w:t>
      </w:r>
    </w:p>
    <w:p w14:paraId="187E7148" w14:textId="77777777" w:rsidR="00B06B6F" w:rsidRPr="001746C7" w:rsidRDefault="00B06B6F" w:rsidP="00725F19">
      <w:pPr>
        <w:keepNext/>
        <w:numPr>
          <w:ilvl w:val="1"/>
          <w:numId w:val="0"/>
        </w:numPr>
        <w:tabs>
          <w:tab w:val="left" w:pos="510"/>
          <w:tab w:val="num" w:pos="1070"/>
          <w:tab w:val="left" w:pos="1134"/>
        </w:tabs>
        <w:ind w:firstLine="709"/>
        <w:jc w:val="both"/>
        <w:rPr>
          <w:rFonts w:ascii="Times New Roman" w:hAnsi="Times New Roman" w:cs="Times New Roman"/>
          <w:b/>
          <w:bCs/>
          <w:iCs/>
          <w:sz w:val="24"/>
          <w:szCs w:val="24"/>
        </w:rPr>
      </w:pPr>
      <w:r w:rsidRPr="001746C7">
        <w:rPr>
          <w:rFonts w:ascii="Times New Roman" w:hAnsi="Times New Roman" w:cs="Times New Roman"/>
          <w:b/>
          <w:sz w:val="24"/>
          <w:szCs w:val="24"/>
        </w:rPr>
        <w:t xml:space="preserve">Приложение 3. </w:t>
      </w:r>
      <w:r w:rsidRPr="001746C7">
        <w:rPr>
          <w:rFonts w:ascii="Times New Roman" w:hAnsi="Times New Roman" w:cs="Times New Roman"/>
          <w:b/>
          <w:bCs/>
          <w:iCs/>
          <w:sz w:val="24"/>
          <w:szCs w:val="24"/>
        </w:rPr>
        <w:t>Формат заключения по направлению финансово-экономической экспертизы с использованием шаблона «Финэкспертиза.xls».</w:t>
      </w:r>
    </w:p>
    <w:p w14:paraId="45CC926D" w14:textId="77777777" w:rsidR="00B06B6F" w:rsidRPr="001746C7" w:rsidRDefault="00B06B6F" w:rsidP="00725F19">
      <w:pPr>
        <w:keepNext/>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bCs/>
          <w:iCs/>
          <w:sz w:val="24"/>
          <w:szCs w:val="24"/>
        </w:rPr>
        <w:t>Приложение 4.</w:t>
      </w:r>
      <w:r w:rsidRPr="001746C7">
        <w:rPr>
          <w:rFonts w:ascii="Times New Roman" w:hAnsi="Times New Roman" w:cs="Times New Roman"/>
          <w:b/>
          <w:sz w:val="24"/>
          <w:szCs w:val="24"/>
        </w:rPr>
        <w:t xml:space="preserve"> 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p>
    <w:p w14:paraId="541A2D13" w14:textId="77777777" w:rsidR="00B06B6F" w:rsidRDefault="00B06B6F" w:rsidP="00725F19">
      <w:pPr>
        <w:spacing w:after="200" w:line="276" w:lineRule="auto"/>
        <w:rPr>
          <w:rFonts w:ascii="Times New Roman" w:hAnsi="Times New Roman" w:cs="Times New Roman"/>
        </w:rPr>
      </w:pPr>
    </w:p>
    <w:p w14:paraId="0B4004B4" w14:textId="77777777" w:rsidR="001746C7" w:rsidRDefault="001746C7" w:rsidP="00725F19">
      <w:pPr>
        <w:spacing w:after="200" w:line="276" w:lineRule="auto"/>
        <w:rPr>
          <w:rFonts w:ascii="Times New Roman" w:hAnsi="Times New Roman" w:cs="Times New Roman"/>
        </w:rPr>
      </w:pPr>
    </w:p>
    <w:p w14:paraId="320115DA" w14:textId="77777777" w:rsidR="001746C7" w:rsidRDefault="001746C7" w:rsidP="00725F19">
      <w:pPr>
        <w:spacing w:after="200" w:line="276" w:lineRule="auto"/>
        <w:rPr>
          <w:rFonts w:ascii="Times New Roman" w:hAnsi="Times New Roman" w:cs="Times New Roman"/>
        </w:rPr>
      </w:pPr>
    </w:p>
    <w:p w14:paraId="6EB02954" w14:textId="77777777" w:rsidR="001746C7" w:rsidRPr="00FC7951" w:rsidRDefault="001746C7" w:rsidP="00725F19">
      <w:pPr>
        <w:spacing w:after="200" w:line="276" w:lineRule="auto"/>
        <w:rPr>
          <w:rFonts w:ascii="Times New Roman" w:hAnsi="Times New Roman" w:cs="Times New Roman"/>
        </w:rPr>
      </w:pPr>
    </w:p>
    <w:p w14:paraId="772E733F" w14:textId="77777777" w:rsidR="00B06B6F" w:rsidRPr="00FC7951" w:rsidRDefault="00B06B6F" w:rsidP="00725F19">
      <w:pPr>
        <w:jc w:val="right"/>
        <w:rPr>
          <w:rStyle w:val="af2"/>
          <w:rFonts w:ascii="Times New Roman" w:hAnsi="Times New Roman" w:cs="Times New Roman"/>
          <w:i w:val="0"/>
          <w:iCs w:val="0"/>
        </w:rPr>
      </w:pPr>
      <w:bookmarkStart w:id="35" w:name="_Toc107244341"/>
      <w:bookmarkStart w:id="36" w:name="_Toc107247780"/>
      <w:r w:rsidRPr="00FC7951">
        <w:rPr>
          <w:rStyle w:val="af2"/>
          <w:rFonts w:ascii="Times New Roman" w:hAnsi="Times New Roman" w:cs="Times New Roman"/>
          <w:i w:val="0"/>
          <w:iCs w:val="0"/>
        </w:rPr>
        <w:t>Приложение 1</w:t>
      </w:r>
      <w:bookmarkEnd w:id="35"/>
      <w:bookmarkEnd w:id="36"/>
      <w:r w:rsidRPr="00FC7951">
        <w:rPr>
          <w:rStyle w:val="af2"/>
          <w:rFonts w:ascii="Times New Roman" w:hAnsi="Times New Roman" w:cs="Times New Roman"/>
          <w:i w:val="0"/>
          <w:iCs w:val="0"/>
        </w:rPr>
        <w:t xml:space="preserve"> </w:t>
      </w:r>
    </w:p>
    <w:p w14:paraId="4C084247" w14:textId="77777777" w:rsidR="00B06B6F" w:rsidRPr="00FC7951" w:rsidRDefault="00B06B6F" w:rsidP="00725F19">
      <w:pPr>
        <w:jc w:val="right"/>
        <w:rPr>
          <w:rStyle w:val="af2"/>
          <w:rFonts w:ascii="Times New Roman" w:hAnsi="Times New Roman" w:cs="Times New Roman"/>
          <w:i w:val="0"/>
          <w:iCs w:val="0"/>
        </w:rPr>
      </w:pPr>
      <w:bookmarkStart w:id="37" w:name="_Toc107244342"/>
      <w:bookmarkStart w:id="38" w:name="_Toc107247781"/>
      <w:r w:rsidRPr="00FC7951">
        <w:rPr>
          <w:rStyle w:val="af2"/>
          <w:rFonts w:ascii="Times New Roman" w:hAnsi="Times New Roman" w:cs="Times New Roman"/>
          <w:i w:val="0"/>
          <w:iCs w:val="0"/>
        </w:rPr>
        <w:t>к Методике МТ-065-4</w:t>
      </w:r>
      <w:bookmarkEnd w:id="37"/>
      <w:bookmarkEnd w:id="38"/>
    </w:p>
    <w:p w14:paraId="73E38A83" w14:textId="77777777" w:rsidR="00B06B6F" w:rsidRPr="00FC7951" w:rsidRDefault="00B06B6F" w:rsidP="00725F19">
      <w:pPr>
        <w:jc w:val="right"/>
        <w:rPr>
          <w:rStyle w:val="10"/>
          <w:rFonts w:eastAsiaTheme="minorHAnsi"/>
        </w:rPr>
      </w:pPr>
    </w:p>
    <w:p w14:paraId="7B45B2EE" w14:textId="77777777" w:rsidR="00B06B6F" w:rsidRPr="00FC7951" w:rsidRDefault="00B06B6F" w:rsidP="00725F19">
      <w:pPr>
        <w:rPr>
          <w:rStyle w:val="10"/>
          <w:rFonts w:eastAsiaTheme="minorHAnsi"/>
        </w:rPr>
      </w:pPr>
      <w:bookmarkStart w:id="39" w:name="_Toc107244343"/>
      <w:bookmarkStart w:id="40" w:name="_Toc107247782"/>
      <w:r w:rsidRPr="00FC7951">
        <w:rPr>
          <w:rStyle w:val="10"/>
          <w:rFonts w:eastAsiaTheme="minorHAnsi"/>
        </w:rPr>
        <w:t>Приложение 1 Разграничение функциональных обязанностей по проведению финансово-экономической экспертизы</w:t>
      </w:r>
      <w:bookmarkEnd w:id="39"/>
      <w:bookmarkEnd w:id="40"/>
      <w:r w:rsidRPr="00FC7951">
        <w:rPr>
          <w:rStyle w:val="10"/>
          <w:rFonts w:eastAsiaTheme="minorHAnsi"/>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3828"/>
      </w:tblGrid>
      <w:tr w:rsidR="00B06B6F" w:rsidRPr="00FC7951" w14:paraId="5E7194B3" w14:textId="77777777" w:rsidTr="001746C7">
        <w:trPr>
          <w:trHeight w:val="468"/>
        </w:trPr>
        <w:tc>
          <w:tcPr>
            <w:tcW w:w="567" w:type="dxa"/>
            <w:tcBorders>
              <w:top w:val="single" w:sz="4" w:space="0" w:color="auto"/>
              <w:left w:val="single" w:sz="4" w:space="0" w:color="auto"/>
              <w:bottom w:val="single" w:sz="4" w:space="0" w:color="auto"/>
              <w:right w:val="single" w:sz="4" w:space="0" w:color="auto"/>
            </w:tcBorders>
            <w:hideMark/>
          </w:tcPr>
          <w:p w14:paraId="3BEE51AB" w14:textId="77777777" w:rsidR="00B06B6F" w:rsidRPr="00FC7951" w:rsidRDefault="00B06B6F" w:rsidP="00725F19">
            <w:pPr>
              <w:spacing w:line="256" w:lineRule="auto"/>
              <w:jc w:val="center"/>
              <w:rPr>
                <w:rFonts w:ascii="Times New Roman" w:hAnsi="Times New Roman" w:cs="Times New Roman"/>
                <w:b/>
                <w:color w:val="000000"/>
              </w:rPr>
            </w:pPr>
            <w:proofErr w:type="spellStart"/>
            <w:r w:rsidRPr="00FC7951">
              <w:rPr>
                <w:rFonts w:ascii="Times New Roman" w:hAnsi="Times New Roman" w:cs="Times New Roman"/>
                <w:b/>
                <w:color w:val="000000"/>
              </w:rPr>
              <w:t>пп</w:t>
            </w:r>
            <w:proofErr w:type="spellEnd"/>
            <w:r w:rsidRPr="00FC7951">
              <w:rPr>
                <w:rFonts w:ascii="Times New Roman" w:hAnsi="Times New Roman" w:cs="Times New Roman"/>
                <w:b/>
                <w:color w:val="000000"/>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0BFD4AE" w14:textId="77777777" w:rsidR="00B06B6F" w:rsidRPr="00FC7951" w:rsidRDefault="00B06B6F" w:rsidP="00725F19">
            <w:pPr>
              <w:spacing w:line="256" w:lineRule="auto"/>
              <w:jc w:val="center"/>
              <w:rPr>
                <w:rFonts w:ascii="Times New Roman" w:hAnsi="Times New Roman" w:cs="Times New Roman"/>
                <w:b/>
                <w:color w:val="000000"/>
              </w:rPr>
            </w:pPr>
            <w:r w:rsidRPr="00FC7951">
              <w:rPr>
                <w:rFonts w:ascii="Times New Roman" w:hAnsi="Times New Roman" w:cs="Times New Roman"/>
                <w:b/>
                <w:color w:val="000000"/>
              </w:rPr>
              <w:t>Категория процедуры</w:t>
            </w: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1A4EDC99" w14:textId="77777777" w:rsidR="00B06B6F" w:rsidRPr="00FC7951" w:rsidRDefault="00B06B6F" w:rsidP="00725F19">
            <w:pPr>
              <w:spacing w:line="256" w:lineRule="auto"/>
              <w:jc w:val="center"/>
              <w:rPr>
                <w:rFonts w:ascii="Times New Roman" w:hAnsi="Times New Roman" w:cs="Times New Roman"/>
                <w:b/>
                <w:color w:val="000000"/>
              </w:rPr>
            </w:pPr>
            <w:r w:rsidRPr="00FC7951">
              <w:rPr>
                <w:rFonts w:ascii="Times New Roman" w:hAnsi="Times New Roman" w:cs="Times New Roman"/>
                <w:b/>
                <w:color w:val="000000"/>
              </w:rPr>
              <w:t>Эксперт по направлению</w:t>
            </w:r>
          </w:p>
        </w:tc>
      </w:tr>
      <w:tr w:rsidR="00B06B6F" w:rsidRPr="00FC7951" w14:paraId="7A8746CA" w14:textId="77777777" w:rsidTr="001746C7">
        <w:trPr>
          <w:trHeight w:val="1486"/>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627CEE"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1</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14:paraId="4B5F9180"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 xml:space="preserve">закупочные процедуры Группы, сумма по которым превышает </w:t>
            </w:r>
            <w:r w:rsidRPr="00FC7951">
              <w:rPr>
                <w:b/>
                <w:color w:val="000000"/>
                <w:lang w:eastAsia="en-US"/>
              </w:rPr>
              <w:t>250 млн. рублей</w:t>
            </w:r>
            <w:r w:rsidRPr="00FC7951">
              <w:rPr>
                <w:color w:val="000000"/>
                <w:lang w:eastAsia="en-US"/>
              </w:rPr>
              <w:t xml:space="preserve"> без НДС*;</w:t>
            </w:r>
          </w:p>
          <w:p w14:paraId="2C5DA994"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закупочные процедуры Группы, связанные с покупкой и транспортировкой топлива для нужд российских генерирующих активов;</w:t>
            </w:r>
          </w:p>
          <w:p w14:paraId="203F5095"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закупочные процедуры Группы на оказание услуг банков, лизинговых компаний, страховых компаний и иных финансовых организаций**;</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8033859"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Финансово-экономический центр ПАО «Интер РАО»</w:t>
            </w:r>
          </w:p>
          <w:p w14:paraId="6E958E76" w14:textId="77777777" w:rsidR="00B06B6F" w:rsidRPr="00FC7951" w:rsidRDefault="00B06B6F" w:rsidP="00725F19">
            <w:pPr>
              <w:pStyle w:val="ac"/>
              <w:numPr>
                <w:ilvl w:val="0"/>
                <w:numId w:val="42"/>
              </w:numPr>
              <w:rPr>
                <w:i/>
                <w:iCs/>
                <w:color w:val="000000"/>
                <w:lang w:eastAsia="en-US"/>
              </w:rPr>
            </w:pPr>
            <w:r w:rsidRPr="00FC7951">
              <w:rPr>
                <w:i/>
                <w:iCs/>
                <w:color w:val="000000"/>
                <w:lang w:eastAsia="en-US"/>
              </w:rPr>
              <w:t>в части формирования методологии и контроля соответствия проводимой финансовой экспертизы действующим ВНД Группы</w:t>
            </w:r>
          </w:p>
        </w:tc>
      </w:tr>
      <w:tr w:rsidR="00B06B6F" w:rsidRPr="00FC7951" w14:paraId="394A2075" w14:textId="77777777" w:rsidTr="001746C7">
        <w:trPr>
          <w:trHeight w:val="11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2B3B263" w14:textId="77777777" w:rsidR="00B06B6F" w:rsidRPr="00FC7951" w:rsidRDefault="00B06B6F" w:rsidP="00725F19">
            <w:pPr>
              <w:spacing w:line="256" w:lineRule="auto"/>
              <w:rPr>
                <w:rFonts w:ascii="Times New Roman" w:hAnsi="Times New Roman" w:cs="Times New Roman"/>
                <w:color w:val="000000"/>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32CF554F" w14:textId="77777777" w:rsidR="00B06B6F" w:rsidRPr="00FC7951" w:rsidRDefault="00B06B6F" w:rsidP="00725F19">
            <w:pPr>
              <w:spacing w:line="256" w:lineRule="auto"/>
              <w:rPr>
                <w:rFonts w:ascii="Times New Roman" w:hAnsi="Times New Roman" w:cs="Times New Roman"/>
                <w:color w:val="000000"/>
              </w:rPr>
            </w:pPr>
          </w:p>
        </w:tc>
        <w:tc>
          <w:tcPr>
            <w:tcW w:w="3828" w:type="dxa"/>
            <w:tcBorders>
              <w:top w:val="single" w:sz="4" w:space="0" w:color="auto"/>
              <w:left w:val="single" w:sz="4" w:space="0" w:color="auto"/>
              <w:bottom w:val="single" w:sz="4" w:space="0" w:color="auto"/>
              <w:right w:val="single" w:sz="4" w:space="0" w:color="auto"/>
            </w:tcBorders>
            <w:vAlign w:val="center"/>
            <w:hideMark/>
          </w:tcPr>
          <w:p w14:paraId="57088D4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ООО «Интер РАО – Центр управления закупками» (СЗО)</w:t>
            </w:r>
          </w:p>
          <w:p w14:paraId="7E20542C" w14:textId="77777777" w:rsidR="00B06B6F" w:rsidRPr="00FC7951" w:rsidRDefault="00B06B6F" w:rsidP="00725F19">
            <w:pPr>
              <w:pStyle w:val="ac"/>
              <w:numPr>
                <w:ilvl w:val="0"/>
                <w:numId w:val="43"/>
              </w:numPr>
              <w:spacing w:line="256" w:lineRule="auto"/>
              <w:contextualSpacing w:val="0"/>
              <w:rPr>
                <w:color w:val="000000"/>
                <w:lang w:eastAsia="en-US"/>
              </w:rPr>
            </w:pPr>
            <w:r w:rsidRPr="00FC7951">
              <w:rPr>
                <w:i/>
                <w:iCs/>
                <w:color w:val="000000"/>
                <w:lang w:eastAsia="en-US"/>
              </w:rPr>
              <w:t>в части проведения экспертизы</w:t>
            </w:r>
            <w:r w:rsidRPr="00FC7951">
              <w:rPr>
                <w:color w:val="000000"/>
                <w:lang w:eastAsia="en-US"/>
              </w:rPr>
              <w:t xml:space="preserve"> </w:t>
            </w:r>
          </w:p>
        </w:tc>
      </w:tr>
      <w:tr w:rsidR="00B06B6F" w:rsidRPr="00FC7951" w14:paraId="4F0255A9" w14:textId="77777777" w:rsidTr="001746C7">
        <w:trPr>
          <w:trHeight w:val="760"/>
        </w:trPr>
        <w:tc>
          <w:tcPr>
            <w:tcW w:w="567" w:type="dxa"/>
            <w:tcBorders>
              <w:top w:val="single" w:sz="4" w:space="0" w:color="auto"/>
              <w:left w:val="single" w:sz="4" w:space="0" w:color="auto"/>
              <w:bottom w:val="single" w:sz="4" w:space="0" w:color="auto"/>
              <w:right w:val="single" w:sz="4" w:space="0" w:color="auto"/>
            </w:tcBorders>
            <w:vAlign w:val="center"/>
            <w:hideMark/>
          </w:tcPr>
          <w:p w14:paraId="6BCC07BC"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51B255"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закупочные процедуры Группы, сумма по которым не превышает 250 млн. рублей без НДС в части, не противоречащей подпункту 1 настоящей таблицы</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2332440"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ООО «Интер РАО – Центр управления закупками» (СЗО)</w:t>
            </w:r>
          </w:p>
        </w:tc>
      </w:tr>
      <w:tr w:rsidR="00B06B6F" w:rsidRPr="00FC7951" w14:paraId="179AAEE7" w14:textId="77777777" w:rsidTr="001746C7">
        <w:trPr>
          <w:trHeight w:val="714"/>
        </w:trPr>
        <w:tc>
          <w:tcPr>
            <w:tcW w:w="567" w:type="dxa"/>
            <w:tcBorders>
              <w:top w:val="single" w:sz="4" w:space="0" w:color="auto"/>
              <w:left w:val="single" w:sz="4" w:space="0" w:color="auto"/>
              <w:bottom w:val="single" w:sz="4" w:space="0" w:color="auto"/>
              <w:right w:val="single" w:sz="4" w:space="0" w:color="auto"/>
            </w:tcBorders>
            <w:vAlign w:val="center"/>
            <w:hideMark/>
          </w:tcPr>
          <w:p w14:paraId="279D06E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E1E322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закупочные процедуры, осуществляемые для собственных нужд ДО, организаторами которых являются соответствующие ДО, сумма закупки не превышает 20 млн. рублей без НДС в части, не противоречащей подпунктам 1 и 2 настоящей таблицы</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7767CB2"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Финансово-экономическая служба соответствующего ДО</w:t>
            </w:r>
          </w:p>
        </w:tc>
      </w:tr>
    </w:tbl>
    <w:p w14:paraId="24349FAC" w14:textId="77777777" w:rsidR="00B06B6F" w:rsidRPr="00FC7951" w:rsidRDefault="00B06B6F" w:rsidP="00725F19">
      <w:pPr>
        <w:jc w:val="both"/>
        <w:rPr>
          <w:rFonts w:ascii="Times New Roman" w:hAnsi="Times New Roman" w:cs="Times New Roman"/>
          <w:i/>
        </w:rPr>
      </w:pPr>
      <w:r w:rsidRPr="00FC7951">
        <w:rPr>
          <w:rFonts w:ascii="Times New Roman" w:hAnsi="Times New Roman" w:cs="Times New Roman"/>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14:paraId="11DE5577" w14:textId="77777777" w:rsidR="00B06B6F" w:rsidRPr="00FC7951" w:rsidRDefault="00B06B6F" w:rsidP="00725F19">
      <w:pPr>
        <w:jc w:val="both"/>
        <w:rPr>
          <w:rFonts w:ascii="Times New Roman" w:hAnsi="Times New Roman" w:cs="Times New Roman"/>
          <w:i/>
        </w:rPr>
      </w:pPr>
      <w:r w:rsidRPr="00FC7951">
        <w:rPr>
          <w:rFonts w:ascii="Times New Roman" w:hAnsi="Times New Roman" w:cs="Times New Roman"/>
          <w:i/>
        </w:rPr>
        <w:t xml:space="preserve">** оценка финансовой устойчивости финансовых организаций проводится на основе Методики МТ-061 «Оценка и ограничение кредитного риска по операциям с банками-контрагентами и прочими финансовыми организациями» (в актуальной версии) </w:t>
      </w:r>
    </w:p>
    <w:p w14:paraId="198170C1" w14:textId="77777777" w:rsidR="00B06B6F" w:rsidRPr="00FC7951" w:rsidRDefault="00B06B6F" w:rsidP="00725F19">
      <w:pPr>
        <w:spacing w:after="200" w:line="276" w:lineRule="auto"/>
        <w:rPr>
          <w:rFonts w:ascii="Times New Roman" w:eastAsia="Calibri" w:hAnsi="Times New Roman" w:cs="Times New Roman"/>
          <w:b/>
        </w:rPr>
      </w:pPr>
      <w:r w:rsidRPr="00FC7951">
        <w:rPr>
          <w:rFonts w:ascii="Times New Roman" w:eastAsia="Calibri" w:hAnsi="Times New Roman" w:cs="Times New Roman"/>
          <w:b/>
        </w:rPr>
        <w:br w:type="page"/>
      </w:r>
    </w:p>
    <w:p w14:paraId="15CF4A46" w14:textId="77777777" w:rsidR="00B06B6F" w:rsidRPr="00FC7951" w:rsidRDefault="00B06B6F" w:rsidP="00725F19">
      <w:pPr>
        <w:jc w:val="both"/>
        <w:rPr>
          <w:rFonts w:ascii="Times New Roman" w:eastAsia="Calibri" w:hAnsi="Times New Roman" w:cs="Times New Roman"/>
          <w:b/>
        </w:rPr>
      </w:pPr>
      <w:r w:rsidRPr="00FC7951">
        <w:rPr>
          <w:rFonts w:ascii="Times New Roman" w:eastAsia="Calibri" w:hAnsi="Times New Roman" w:cs="Times New Roman"/>
          <w:b/>
        </w:rPr>
        <w:lastRenderedPageBreak/>
        <w:t>Функции контроля в части проведения финансово-экономической экспертизы</w:t>
      </w:r>
    </w:p>
    <w:p w14:paraId="4C610EB6" w14:textId="77777777" w:rsidR="00B06B6F" w:rsidRPr="00FC7951" w:rsidRDefault="00B06B6F" w:rsidP="00725F19">
      <w:pPr>
        <w:spacing w:after="200"/>
        <w:contextualSpacing/>
        <w:jc w:val="both"/>
        <w:rPr>
          <w:rFonts w:ascii="Times New Roman" w:eastAsia="Calibri" w:hAnsi="Times New Roman" w:cs="Times New Roman"/>
        </w:rPr>
      </w:pPr>
    </w:p>
    <w:p w14:paraId="427E2732"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компаний Группы «Интер РАО».</w:t>
      </w:r>
    </w:p>
    <w:p w14:paraId="7CB2832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FC7951">
        <w:rPr>
          <w:rFonts w:ascii="Times New Roman" w:eastAsia="Calibri" w:hAnsi="Times New Roman" w:cs="Times New Roman"/>
          <w:lang w:val="en-US"/>
        </w:rPr>
        <w:t>MS</w:t>
      </w:r>
      <w:r w:rsidRPr="00FC7951">
        <w:rPr>
          <w:rFonts w:ascii="Times New Roman" w:eastAsia="Calibri" w:hAnsi="Times New Roman" w:cs="Times New Roman"/>
        </w:rPr>
        <w:t xml:space="preserve"> </w:t>
      </w:r>
      <w:r w:rsidRPr="00FC7951">
        <w:rPr>
          <w:rFonts w:ascii="Times New Roman" w:eastAsia="Calibri" w:hAnsi="Times New Roman" w:cs="Times New Roman"/>
          <w:lang w:val="en-US"/>
        </w:rPr>
        <w:t>EXCEL</w:t>
      </w:r>
      <w:r w:rsidRPr="00FC7951">
        <w:rPr>
          <w:rFonts w:ascii="Times New Roman" w:eastAsia="Calibri" w:hAnsi="Times New Roman" w:cs="Times New Roman"/>
        </w:rPr>
        <w:t xml:space="preserve"> и по каждой закупочной процедуре содержит следующие поля:</w:t>
      </w:r>
    </w:p>
    <w:p w14:paraId="675E4EC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p>
    <w:p w14:paraId="2800F971"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Наименование закупочной процедуры (Лот №);</w:t>
      </w:r>
    </w:p>
    <w:p w14:paraId="486E3306"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Стоимость, предложенная победителем (тыс. рублей без НДС);</w:t>
      </w:r>
    </w:p>
    <w:p w14:paraId="46A85841"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Победитель закупочной процедуры (ИНН);</w:t>
      </w:r>
    </w:p>
    <w:p w14:paraId="434E7EBE"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 xml:space="preserve">Экспертная оценка победителя в рамках </w:t>
      </w:r>
      <w:proofErr w:type="spellStart"/>
      <w:r w:rsidRPr="00FC7951">
        <w:rPr>
          <w:rFonts w:ascii="Times New Roman" w:eastAsia="Calibri" w:hAnsi="Times New Roman" w:cs="Times New Roman"/>
        </w:rPr>
        <w:t>финэкспертизы</w:t>
      </w:r>
      <w:proofErr w:type="spellEnd"/>
      <w:r w:rsidRPr="00FC7951">
        <w:rPr>
          <w:rFonts w:ascii="Times New Roman" w:eastAsia="Calibri" w:hAnsi="Times New Roman" w:cs="Times New Roman"/>
        </w:rPr>
        <w:t xml:space="preserve"> (от 1 до 5);</w:t>
      </w:r>
    </w:p>
    <w:p w14:paraId="356123A7"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Осуществлялись ли экспертные корректировки (да/нет).</w:t>
      </w:r>
    </w:p>
    <w:p w14:paraId="6AA19555"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p>
    <w:p w14:paraId="53EACBA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При необходимости Финансово-экономическим центром ПАО «Интер РАО» может быть запрошена дополнительная информация по проведенным закупочным процедура</w:t>
      </w:r>
    </w:p>
    <w:p w14:paraId="71937D1D" w14:textId="77777777" w:rsidR="00B06B6F" w:rsidRPr="00FC7951" w:rsidRDefault="00B06B6F" w:rsidP="00725F19">
      <w:pPr>
        <w:spacing w:after="200"/>
        <w:contextualSpacing/>
        <w:jc w:val="both"/>
        <w:rPr>
          <w:rFonts w:ascii="Times New Roman" w:eastAsia="Calibri" w:hAnsi="Times New Roman" w:cs="Times New Roman"/>
        </w:rPr>
      </w:pPr>
    </w:p>
    <w:p w14:paraId="4233AB42" w14:textId="77777777" w:rsidR="00B06B6F" w:rsidRPr="00FC7951" w:rsidRDefault="00B06B6F" w:rsidP="00725F19">
      <w:pPr>
        <w:spacing w:after="200" w:line="276" w:lineRule="auto"/>
        <w:rPr>
          <w:rStyle w:val="10"/>
          <w:rFonts w:eastAsia="Calibri"/>
          <w:b w:val="0"/>
          <w:bCs/>
        </w:rPr>
      </w:pPr>
      <w:r w:rsidRPr="00FC7951">
        <w:rPr>
          <w:rFonts w:ascii="Times New Roman" w:eastAsia="Calibri" w:hAnsi="Times New Roman" w:cs="Times New Roman"/>
        </w:rPr>
        <w:br w:type="page"/>
      </w:r>
    </w:p>
    <w:p w14:paraId="533DE834" w14:textId="77777777" w:rsidR="00B06B6F" w:rsidRPr="00FC7951" w:rsidRDefault="00B06B6F" w:rsidP="00725F19">
      <w:pPr>
        <w:jc w:val="right"/>
        <w:rPr>
          <w:rStyle w:val="af2"/>
          <w:rFonts w:ascii="Times New Roman" w:hAnsi="Times New Roman" w:cs="Times New Roman"/>
          <w:bCs/>
          <w:i w:val="0"/>
          <w:iCs w:val="0"/>
        </w:rPr>
      </w:pPr>
      <w:bookmarkStart w:id="41" w:name="_Toc107244344"/>
      <w:bookmarkStart w:id="42" w:name="_Toc107247783"/>
      <w:r w:rsidRPr="00FC7951">
        <w:rPr>
          <w:rStyle w:val="af2"/>
          <w:rFonts w:ascii="Times New Roman" w:hAnsi="Times New Roman" w:cs="Times New Roman"/>
          <w:bCs/>
          <w:i w:val="0"/>
          <w:iCs w:val="0"/>
        </w:rPr>
        <w:lastRenderedPageBreak/>
        <w:t>Приложение 2</w:t>
      </w:r>
      <w:bookmarkEnd w:id="41"/>
      <w:bookmarkEnd w:id="42"/>
      <w:r w:rsidRPr="00FC7951">
        <w:rPr>
          <w:rStyle w:val="af2"/>
          <w:rFonts w:ascii="Times New Roman" w:hAnsi="Times New Roman" w:cs="Times New Roman"/>
          <w:bCs/>
          <w:i w:val="0"/>
          <w:iCs w:val="0"/>
        </w:rPr>
        <w:t xml:space="preserve"> </w:t>
      </w:r>
    </w:p>
    <w:p w14:paraId="0901FBF2" w14:textId="77777777" w:rsidR="00B06B6F" w:rsidRPr="00FC7951" w:rsidRDefault="00B06B6F" w:rsidP="00725F19">
      <w:pPr>
        <w:jc w:val="right"/>
        <w:rPr>
          <w:rStyle w:val="af2"/>
          <w:rFonts w:ascii="Times New Roman" w:hAnsi="Times New Roman" w:cs="Times New Roman"/>
          <w:bCs/>
          <w:i w:val="0"/>
          <w:iCs w:val="0"/>
        </w:rPr>
      </w:pPr>
      <w:bookmarkStart w:id="43" w:name="_Toc107244345"/>
      <w:bookmarkStart w:id="44" w:name="_Toc107247784"/>
      <w:r w:rsidRPr="00FC7951">
        <w:rPr>
          <w:rStyle w:val="af2"/>
          <w:rFonts w:ascii="Times New Roman" w:hAnsi="Times New Roman" w:cs="Times New Roman"/>
          <w:bCs/>
          <w:i w:val="0"/>
          <w:iCs w:val="0"/>
        </w:rPr>
        <w:t>к Методике МТ-065-4</w:t>
      </w:r>
      <w:bookmarkEnd w:id="43"/>
      <w:bookmarkEnd w:id="44"/>
    </w:p>
    <w:p w14:paraId="2C2B195B" w14:textId="77777777" w:rsidR="00B06B6F" w:rsidRPr="00FC7951" w:rsidRDefault="00B06B6F" w:rsidP="00725F19">
      <w:pPr>
        <w:spacing w:after="200"/>
        <w:contextualSpacing/>
        <w:jc w:val="right"/>
        <w:rPr>
          <w:rStyle w:val="10"/>
          <w:rFonts w:eastAsiaTheme="minorHAnsi"/>
        </w:rPr>
      </w:pPr>
    </w:p>
    <w:p w14:paraId="0C787282" w14:textId="77777777" w:rsidR="00B06B6F" w:rsidRPr="00FC7951" w:rsidRDefault="00B06B6F" w:rsidP="00725F19">
      <w:pPr>
        <w:spacing w:after="200"/>
        <w:contextualSpacing/>
        <w:jc w:val="both"/>
        <w:rPr>
          <w:rStyle w:val="10"/>
          <w:rFonts w:eastAsia="Calibri"/>
          <w:b w:val="0"/>
          <w:bCs/>
        </w:rPr>
      </w:pPr>
      <w:bookmarkStart w:id="45" w:name="_Toc107244346"/>
      <w:bookmarkStart w:id="46" w:name="_Toc107247785"/>
      <w:r w:rsidRPr="00FC7951">
        <w:rPr>
          <w:rStyle w:val="10"/>
          <w:rFonts w:eastAsiaTheme="minorHAnsi"/>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proofErr w:type="spellStart"/>
      <w:r w:rsidRPr="00FC7951">
        <w:rPr>
          <w:rStyle w:val="10"/>
          <w:rFonts w:eastAsiaTheme="minorHAnsi"/>
          <w:lang w:val="en-US"/>
        </w:rPr>
        <w:t>xls</w:t>
      </w:r>
      <w:proofErr w:type="spellEnd"/>
      <w:r w:rsidRPr="00FC7951">
        <w:rPr>
          <w:rStyle w:val="10"/>
          <w:rFonts w:eastAsiaTheme="minorHAnsi"/>
        </w:rPr>
        <w:t>»</w:t>
      </w:r>
      <w:bookmarkEnd w:id="45"/>
      <w:bookmarkEnd w:id="46"/>
    </w:p>
    <w:p w14:paraId="03CD8C6B"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Формат заключения</w:t>
      </w:r>
    </w:p>
    <w:p w14:paraId="7F909845"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rPr>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xml:space="preserve">» (файл в формате </w:t>
      </w:r>
      <w:r w:rsidRPr="00FC7951">
        <w:rPr>
          <w:rFonts w:ascii="Times New Roman" w:hAnsi="Times New Roman" w:cs="Times New Roman"/>
          <w:lang w:val="en-US"/>
        </w:rPr>
        <w:t>MS</w:t>
      </w:r>
      <w:r w:rsidRPr="00FC7951">
        <w:rPr>
          <w:rFonts w:ascii="Times New Roman" w:hAnsi="Times New Roman" w:cs="Times New Roman"/>
        </w:rPr>
        <w:t xml:space="preserve"> </w:t>
      </w:r>
      <w:r w:rsidRPr="00FC7951">
        <w:rPr>
          <w:rFonts w:ascii="Times New Roman" w:hAnsi="Times New Roman" w:cs="Times New Roman"/>
          <w:lang w:val="en-US"/>
        </w:rPr>
        <w:t>Excel</w:t>
      </w:r>
      <w:r w:rsidRPr="00FC7951">
        <w:rPr>
          <w:rFonts w:ascii="Times New Roman" w:hAnsi="Times New Roman" w:cs="Times New Roman"/>
        </w:rPr>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 присвоения итоговой оценки. Шаблон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прикладывается к Методике.</w:t>
      </w:r>
    </w:p>
    <w:p w14:paraId="692E8022"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rPr>
        <w:t>Заключение по направлению финансово-экономической экспертизы готовится Экспертом по форме, установленной в Приложении №3. Формат таблицы в приложении полностью соответствует формату шаблона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используемого для расчёта финансовых коэффициентов.</w:t>
      </w:r>
    </w:p>
    <w:p w14:paraId="37F675F0"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Оценка по критериям и подготовка заключения</w:t>
      </w:r>
    </w:p>
    <w:p w14:paraId="05174D0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 конкурентной карте / пояснительной записке для заседания ЦЗК или протоколе ЦЗК. Эксперт должен проверить наличие и полноту документов, необходимых для проведения финансово-экономической экспертизы (</w:t>
      </w:r>
      <w:r w:rsidRPr="00FC7951">
        <w:rPr>
          <w:rFonts w:ascii="Times New Roman" w:hAnsi="Times New Roman" w:cs="Times New Roman"/>
          <w:bCs/>
        </w:rPr>
        <w:t>с учетом требований и ограничений, установленных действующим Законодательством</w:t>
      </w:r>
      <w:r w:rsidRPr="00FC7951">
        <w:rPr>
          <w:rFonts w:ascii="Times New Roman" w:hAnsi="Times New Roman" w:cs="Times New Roman"/>
        </w:rPr>
        <w:t>). Эксперт вправе предложить закупочной комиссии / ЦЗК / ЕИО Общества затребовать от любого участника закупочной процедуры предоставления дополнительных сведений, необходимых для проведения экспертизы (в соответствии с ограничениями, предусмотренными ВНД Группы, указанными в разделе 12 Методики). Такое предложение должно сопровождаться письменным обоснованием необходимости запрашиваемой информации для оценки.</w:t>
      </w:r>
    </w:p>
    <w:p w14:paraId="69F210E1"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Подготовка заключения начинается с внесения Экспертом исходных данных в шаблон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для осуществления оценки. Обязательными для заполнения являются следующие графы таблицы:</w:t>
      </w:r>
    </w:p>
    <w:p w14:paraId="067E68B3"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название участника;</w:t>
      </w:r>
    </w:p>
    <w:p w14:paraId="3A835027"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ИНН;</w:t>
      </w:r>
    </w:p>
    <w:p w14:paraId="5AA6B9B0"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регион;</w:t>
      </w:r>
    </w:p>
    <w:p w14:paraId="492E86C1"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дата регистрации;</w:t>
      </w:r>
    </w:p>
    <w:p w14:paraId="18F47095"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основной вид деятельности (ОКВЭД);</w:t>
      </w:r>
    </w:p>
    <w:p w14:paraId="748FCF21"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стоимость предложения, тыс. руб. без НДС</w:t>
      </w:r>
    </w:p>
    <w:p w14:paraId="4C0A1E5F"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стоимость предложения в пересчете на год, тыс. руб. без НДС (с учетом положений п. 2.5. настоящего Приложения)</w:t>
      </w:r>
    </w:p>
    <w:p w14:paraId="3B3C063E"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сумма задолженности по начисленным налогам, сборам и иным обязательным платежам, тыс. руб. (с учетом положений п. 2.6. настоящего Приложения)</w:t>
      </w:r>
    </w:p>
    <w:p w14:paraId="08C8494D"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данные бухгалтерской отчетности (в случае если предоставление документа не противоречит действующему Законодательству, в ином случае могут использоваться данные, представленные в информационно-аналитических системах «ГИР БО», «СПАРК» и др.)</w:t>
      </w:r>
    </w:p>
    <w:p w14:paraId="06B0BB1C"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подтверждением предоставления в ИФНС, подписанная и заверенная печатью промежуточная бухгалтерская отчетность (по состоянию на 31.03, 30.06, 30.09 текущего года, заверенная </w:t>
      </w:r>
      <w:r w:rsidRPr="00FC7951">
        <w:rPr>
          <w:rFonts w:ascii="Times New Roman" w:hAnsi="Times New Roman" w:cs="Times New Roman"/>
        </w:rPr>
        <w:lastRenderedPageBreak/>
        <w:t>Обществом), копия устава, копия выписки из ЕГРЮЛ/ЕГРИП, анкета, а также оферта участника закупочной процедуры.</w:t>
      </w:r>
    </w:p>
    <w:p w14:paraId="4506D420"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В случае, если участником закупочной процедуры является иностранное юридическое лицо и/или стоимость (ее часть) предложения участника (в том числе российского юридического лица) выражена в иностранной валюте, в целях применения положений Методики и обеспечения сравнимости показателей может потребоваться пересчет значений и сумм, указанных в предоставленных участником документах (в частности, данные бухгалтерской отчетности и/или оферты), в рубли по курсу Центрального Банка РФ на дату составления ПВК (ПВП, ППП, проведения процедуры переторжки) / протокола ЦЗК или пояснительной записки к заседанию ЦЗК / конкурентной карты или иного аналогичного документа, утвержденного ВНД Общества.</w:t>
      </w:r>
    </w:p>
    <w:p w14:paraId="320496E2"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Факт такого пересчета, а также реквизиты документа, на дату которого он осуществлен, должны быть отражены в экспертном заключении.</w:t>
      </w:r>
    </w:p>
    <w:p w14:paraId="751D2BF9"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При заполнении графы «Стоимость предложения в пересчете на год, тыс. руб. без НДС» стоимость предложения участника пересчитывается в годовое выражение с учетом положений пункта 8.1. Методики. В случае, если такой пересчет не осуществляется, в том числе если срок реализации договора менее 1 (одного) календарного года, в указанной графе дублируются данные графы «Стоимость предложения, тыс. руб. без НДС».</w:t>
      </w:r>
    </w:p>
    <w:p w14:paraId="7B2CE16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(в случае если предоставление документа не противоречит действующему Законодательству) по состоянию на дату, предшествующую не более чем на 60 (шестьдесят) календарных дней до дня размещения извещения / конкурентной карты / протокола ЦЗК или пояснительной записки к заседанию ЦЗК; в случае, если указанные справки предоставляются в форме электронного документа в формате </w:t>
      </w:r>
      <w:r w:rsidRPr="00FC7951">
        <w:rPr>
          <w:rFonts w:ascii="Times New Roman" w:hAnsi="Times New Roman" w:cs="Times New Roman"/>
          <w:lang w:val="en-US"/>
        </w:rPr>
        <w:t>pdf</w:t>
      </w:r>
      <w:r w:rsidRPr="00FC7951">
        <w:rPr>
          <w:rFonts w:ascii="Times New Roman" w:hAnsi="Times New Roman" w:cs="Times New Roman"/>
        </w:rPr>
        <w:t xml:space="preserve">, такие документы должны содержать усиленную квалифицированную электронную подпись налогового органа и ее визуализацию. </w:t>
      </w:r>
    </w:p>
    <w:p w14:paraId="03D0D0B8"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7CE3C648"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отсутствия задолженности / если участником является иностранное юридическое лицо / наличия подписанной участником на ЭТП декларации об отсутствии задолженности в размере более 25% валюты баланса для закупок, в графу «Сумма задолженности по начисленным налогам, сборам и иным обязательным платежам, тыс. руб.» Эксперт вносит 0.</w:t>
      </w:r>
    </w:p>
    <w:p w14:paraId="493AB52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При наличии оплаченного доступа к информационно-аналитическим системам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(системам, содержащим данные, включая регистрационные и бухгалтерские, по большинству российских юридических лиц) и доступа к сети интернет, в шаблоне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предусмотрена возможность автоматического заполнения формы.</w:t>
      </w:r>
    </w:p>
    <w:p w14:paraId="6C43D8A7"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поля сводной формы заполняются автоматически.</w:t>
      </w:r>
    </w:p>
    <w:p w14:paraId="01DB6FD0"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отсутствия каких-либо регистрационных или бухгалтерских данных по участнику закупочной процедуры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 xml:space="preserve">-Интерфакс» </w:t>
      </w:r>
      <w:r w:rsidRPr="00FC7951">
        <w:rPr>
          <w:rFonts w:ascii="Times New Roman" w:hAnsi="Times New Roman" w:cs="Times New Roman"/>
        </w:rPr>
        <w:lastRenderedPageBreak/>
        <w:t>и др. (как правило, это бухгалтерская отчетность за последний отчетный период) недостающая информация вносится в шаблон непосредственно Экспертом (в случае если предоставление документа не противоречит действующему Законодательству).</w:t>
      </w:r>
    </w:p>
    <w:p w14:paraId="5A5D3CD4"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Учитывая тот факт, что источником информации в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w:t>
      </w:r>
    </w:p>
    <w:p w14:paraId="45F368AF"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2603DFFC"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проведения закупочных процедур, в целях проведения оценки принимаются данные годовой бухгалтерской отчетности, представленные в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Сверка данных бухгалтерской отчетности, представленных в различных источниках, в таких случаях не осуществляется.</w:t>
      </w:r>
    </w:p>
    <w:p w14:paraId="7DB49B4A"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 основании данных бухгалтерской отчетности в шаблоне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рассчитываются финансовые коэффициенты и в зависимости от принимаемых значений им присваиваются баллы от 0 до 1.</w:t>
      </w:r>
    </w:p>
    <w:p w14:paraId="14B6506F"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Затем Эксперт качественно оценивает бизнес-риски, в числе которых:</w:t>
      </w:r>
    </w:p>
    <w:p w14:paraId="31387131"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соответствие основного вида деятельности по классификации ОКВЭД;</w:t>
      </w:r>
    </w:p>
    <w:p w14:paraId="5D5B277C"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численность персонала;</w:t>
      </w:r>
    </w:p>
    <w:p w14:paraId="0D06B337"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регион ведения деятельности;</w:t>
      </w:r>
    </w:p>
    <w:p w14:paraId="5515FF6C"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финансовые условия сделки.</w:t>
      </w:r>
    </w:p>
    <w:p w14:paraId="47F4C62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14627992" w14:textId="77777777" w:rsidR="00B06B6F" w:rsidRPr="00FC7951" w:rsidRDefault="00B06B6F" w:rsidP="00725F19">
      <w:pPr>
        <w:numPr>
          <w:ilvl w:val="2"/>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Финансовые условия сделки оцениваются в разрезе следующих основных вариантов:</w:t>
      </w:r>
    </w:p>
    <w:p w14:paraId="20DEA0BF"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без предоплаты;</w:t>
      </w:r>
    </w:p>
    <w:p w14:paraId="17C97689"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полное покрытие аванса независимой гарантией;</w:t>
      </w:r>
    </w:p>
    <w:p w14:paraId="26D5339F"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аванс без покрытия независимой гарантией.</w:t>
      </w:r>
    </w:p>
    <w:p w14:paraId="5C2A2A09"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589B7BDA"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 второму варианту «полное покрытие аванса независимой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независимой гарантией.</w:t>
      </w:r>
    </w:p>
    <w:p w14:paraId="5FEB3934"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lastRenderedPageBreak/>
        <w:t>Случай, когда какой-либо авансовый платеж или его часть в пользу участника закупочной процедуры планируется осуществить без покрытия независимой гарантией, такой вариант должен рассматриваться как «аванс без покрытия независимой гарантией».</w:t>
      </w:r>
    </w:p>
    <w:p w14:paraId="5DFE6604"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Срок существования участников закупочной процедуры определяется в шаблоне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автоматически на основании заполненных граф с датой регистрации и датой подготовки заключения.</w:t>
      </w:r>
    </w:p>
    <w:p w14:paraId="039C976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шаблоне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также реализовано сопоставление суммы планируемого договора (в годовом выражении с учетом п. 8.1. Методики) и величины аванса, указанной в оферте / графике оплаты, участника закупочной процедуры с его активами и годовой выручкой.</w:t>
      </w:r>
    </w:p>
    <w:p w14:paraId="2968E5C5"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38437582"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Когда в шаблон «Финэкспертиза.</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xml:space="preserve">» внесены (с учетом особенностей и ограничений, описанных в </w:t>
      </w:r>
      <w:proofErr w:type="spellStart"/>
      <w:r w:rsidRPr="00FC7951">
        <w:rPr>
          <w:rFonts w:ascii="Times New Roman" w:hAnsi="Times New Roman" w:cs="Times New Roman"/>
        </w:rPr>
        <w:t>пп</w:t>
      </w:r>
      <w:proofErr w:type="spellEnd"/>
      <w:r w:rsidRPr="00FC7951">
        <w:rPr>
          <w:rFonts w:ascii="Times New Roman" w:hAnsi="Times New Roman" w:cs="Times New Roman"/>
        </w:rPr>
        <w:t xml:space="preserve">. 2.2-2.7, </w:t>
      </w:r>
      <w:proofErr w:type="spellStart"/>
      <w:r w:rsidRPr="00FC7951">
        <w:rPr>
          <w:rFonts w:ascii="Times New Roman" w:hAnsi="Times New Roman" w:cs="Times New Roman"/>
        </w:rPr>
        <w:t>пп</w:t>
      </w:r>
      <w:proofErr w:type="spellEnd"/>
      <w:r w:rsidRPr="00FC7951">
        <w:rPr>
          <w:rFonts w:ascii="Times New Roman" w:hAnsi="Times New Roman" w:cs="Times New Roman"/>
        </w:rPr>
        <w:t>. 4.3 настоящего Приложения):</w:t>
      </w:r>
    </w:p>
    <w:p w14:paraId="0EFFC5E2"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регистрационные данные участника закупочной процедуры (название участника, ИНН, регион; дата регистрации, основной вид деятельности),</w:t>
      </w:r>
    </w:p>
    <w:p w14:paraId="055737C9"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данные бухгалтерской отчетности / налоговых деклараций,</w:t>
      </w:r>
    </w:p>
    <w:p w14:paraId="7E03D4D6"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проставлены галочки в соответствующих полях формы для условий оплаты,</w:t>
      </w:r>
    </w:p>
    <w:p w14:paraId="74090622"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занесена сумма задолженности по начисленным налогам, сборам и иным обязательным платежам в тыс. руб.,</w:t>
      </w:r>
    </w:p>
    <w:p w14:paraId="193D31E0"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указана сумма планируемого договора, в том числе в годовом выражении с учетом п. 8.1 Методики</w:t>
      </w:r>
    </w:p>
    <w:p w14:paraId="5BAF2B0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 xml:space="preserve">осуществляется автоматическая оценка участников закупочной процедуры на основе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параметры которого (баллы и веса) определены Методикой.</w:t>
      </w:r>
    </w:p>
    <w:p w14:paraId="6A127E69"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Формирование окончательного решения</w:t>
      </w:r>
    </w:p>
    <w:p w14:paraId="62887E4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На отборочной стадии Эксперт, используя результаты совместного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ВНД Общества и/или закупочной документации, в том числе настоящей Методики с точки зрения финансово-экономических критериев. В случае если на основании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 настоящего Приложения, при этом не должна превышать 1 по пятибалльной шкале (минимально допустимый уровень).</w:t>
      </w:r>
    </w:p>
    <w:p w14:paraId="296228F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Все участники, набравшие более 0,45 баллов по шкале от 0 до 1 (по которым принято положительное решение на отборочной стадии) ранжируются / получают итоговую оценку с присвоением оценки по пятибалльной шкале от 0 до 5. Порядок перевода шкалы от 0 до 1 в шкалу от 0 до 5 установлен Методикой.</w:t>
      </w:r>
    </w:p>
    <w:p w14:paraId="35CB43A8"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51EF646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 целью расширения доступа субъектов малого и среднего предпринимательства к участию в закупочных процедурах, организованных Обществом, когда для оказания услуги и/или осуществления поставки от участников закупочной процедуры не требуется наличие значительных </w:t>
      </w:r>
      <w:r w:rsidRPr="00FC7951">
        <w:rPr>
          <w:rFonts w:ascii="Times New Roman" w:hAnsi="Times New Roman" w:cs="Times New Roman"/>
        </w:rPr>
        <w:lastRenderedPageBreak/>
        <w:t xml:space="preserve">финансовых и материально-технических ресурсов, допускается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 оценку – а именно, для участников -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закупочные процедуры по перечисленным ниже статьям расходов Общества, плановая стоимость закупки по которым не превышает 30 млн. рублей без НДС:</w:t>
      </w:r>
    </w:p>
    <w:p w14:paraId="67EB1A6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административно-хозяйственные расходы (поставки и услуги);</w:t>
      </w:r>
    </w:p>
    <w:p w14:paraId="4161E074"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охрана (услуги);</w:t>
      </w:r>
    </w:p>
    <w:p w14:paraId="62EC8A98"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консультационные и информационные расходы (поставки и услуги);</w:t>
      </w:r>
    </w:p>
    <w:p w14:paraId="278DDBDC"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аудит и оценка (поставки и услуги);</w:t>
      </w:r>
    </w:p>
    <w:p w14:paraId="08385D51"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юридические услуги (поставки и услуги);</w:t>
      </w:r>
    </w:p>
    <w:p w14:paraId="7560B075"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корпоративное управление (поставки и услуги);</w:t>
      </w:r>
    </w:p>
    <w:p w14:paraId="195E7603"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расходы на персонал (поставки и услуги);</w:t>
      </w:r>
    </w:p>
    <w:p w14:paraId="57E20E28"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реклама и маркетинг (поставки и услуги).</w:t>
      </w:r>
    </w:p>
    <w:p w14:paraId="1645EFCC"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ВНД Общества и/или закупочной документации, экспертное заключение с указанием наиболее значимых факторов, повлиявших на итоговую оценку.</w:t>
      </w:r>
    </w:p>
    <w:p w14:paraId="140D21B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В случае </w:t>
      </w:r>
      <w:r w:rsidRPr="00FC7951">
        <w:rPr>
          <w:rFonts w:ascii="Times New Roman" w:hAnsi="Times New Roman" w:cs="Times New Roman"/>
          <w:b/>
        </w:rPr>
        <w:t>если решение, принятое Экспертом в рамках финансово-экономической экспертизы, отличается от принятого автоматически</w:t>
      </w:r>
      <w:r w:rsidRPr="00FC7951">
        <w:rPr>
          <w:rFonts w:ascii="Times New Roman" w:hAnsi="Times New Roman" w:cs="Times New Roman"/>
        </w:rPr>
        <w:t xml:space="preserve"> в рамках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 xml:space="preserve">-весового подхода, определенного настоящей Методикой, то </w:t>
      </w:r>
      <w:r w:rsidRPr="00FC7951">
        <w:rPr>
          <w:rFonts w:ascii="Times New Roman" w:hAnsi="Times New Roman" w:cs="Times New Roman"/>
          <w:b/>
        </w:rPr>
        <w:t>формирование Экспертом письменного заключения</w:t>
      </w:r>
      <w:r w:rsidRPr="00FC7951">
        <w:rPr>
          <w:rFonts w:ascii="Times New Roman" w:hAnsi="Times New Roman" w:cs="Times New Roman"/>
        </w:rPr>
        <w:t xml:space="preserve"> с указанием факторов, повлиявших на итоговую оценку, </w:t>
      </w:r>
      <w:r w:rsidRPr="00FC7951">
        <w:rPr>
          <w:rFonts w:ascii="Times New Roman" w:hAnsi="Times New Roman" w:cs="Times New Roman"/>
          <w:b/>
        </w:rPr>
        <w:t>является обязательным</w:t>
      </w:r>
      <w:r w:rsidRPr="00FC7951">
        <w:rPr>
          <w:rFonts w:ascii="Times New Roman" w:hAnsi="Times New Roman" w:cs="Times New Roman"/>
        </w:rPr>
        <w:t>.</w:t>
      </w:r>
    </w:p>
    <w:p w14:paraId="56D3B46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В случае если участник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Fitch/S&amp;P или Ba3 по шкале Moody’s, в том числе последним действовавшим на момент отзыва/приостановки/снижения по причине введения в отношении участника и/или РФ международных ограничений (применимо в течение 1 года с даты отзыва/приостановки/снижения); или российским рейтингом по национальной шкале на уровне или выше А+(</w:t>
      </w:r>
      <w:r w:rsidRPr="00FC7951">
        <w:rPr>
          <w:rFonts w:ascii="Times New Roman" w:hAnsi="Times New Roman" w:cs="Times New Roman"/>
          <w:lang w:val="en-US"/>
        </w:rPr>
        <w:t>RU</w:t>
      </w:r>
      <w:r w:rsidRPr="00FC7951">
        <w:rPr>
          <w:rFonts w:ascii="Times New Roman" w:hAnsi="Times New Roman" w:cs="Times New Roman"/>
        </w:rPr>
        <w:t xml:space="preserve">) по шкале АКРА или </w:t>
      </w:r>
      <w:proofErr w:type="spellStart"/>
      <w:r w:rsidRPr="00FC7951">
        <w:rPr>
          <w:rFonts w:ascii="Times New Roman" w:hAnsi="Times New Roman" w:cs="Times New Roman"/>
          <w:color w:val="000000"/>
        </w:rPr>
        <w:t>ruА</w:t>
      </w:r>
      <w:proofErr w:type="spellEnd"/>
      <w:r w:rsidRPr="00FC7951">
        <w:rPr>
          <w:rFonts w:ascii="Times New Roman" w:hAnsi="Times New Roman" w:cs="Times New Roman"/>
          <w:color w:val="000000"/>
        </w:rPr>
        <w:t>+ по шкале Эксперт РА</w:t>
      </w:r>
      <w:r w:rsidRPr="00FC7951">
        <w:rPr>
          <w:rFonts w:ascii="Times New Roman" w:hAnsi="Times New Roman" w:cs="Times New Roman"/>
        </w:rPr>
        <w:t xml:space="preserve">) допускается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w:t>
      </w:r>
      <w:r w:rsidRPr="00FC7951">
        <w:rPr>
          <w:rFonts w:ascii="Times New Roman" w:hAnsi="Times New Roman" w:cs="Times New Roman"/>
          <w:b/>
        </w:rPr>
        <w:t xml:space="preserve"> итоговую оценку участника закупочной процедуры более чем на 1 балл</w:t>
      </w:r>
      <w:r w:rsidRPr="00FC7951">
        <w:rPr>
          <w:rFonts w:ascii="Times New Roman" w:hAnsi="Times New Roman" w:cs="Times New Roman"/>
        </w:rPr>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 (в случае если предоставление документа не противоречит действующему Законодательству);</w:t>
      </w:r>
    </w:p>
    <w:p w14:paraId="12BC0F50"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Когда в качестве участника закупочной процедуры выступает консорциум / коллективный участник, состоящий из двух или более различных участников,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 коллективного участника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14:paraId="53A41F44"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участников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адвокатские конторы, бюджетные организации и др.) Эксперт вправе изменить набор и степень значимости финансово-экономических критериев с отражением внесенных изменений в экспертном заключении. В частности, в целях подтверждения должного </w:t>
      </w:r>
      <w:r w:rsidRPr="00FC7951">
        <w:rPr>
          <w:rFonts w:ascii="Times New Roman" w:hAnsi="Times New Roman" w:cs="Times New Roman"/>
        </w:rPr>
        <w:lastRenderedPageBreak/>
        <w:t>финансово-экономического состояния и наличия необходимых компетенций могут быть использованы лицензии, сертификаты, грамоты и благодарственные письма (оценка наличия релевантного опыта), кредитные рейтинги и пресс-релизы рейтинговых агентств, членства в ассоциациях и другие данные, полученные из открытых источников информации.</w:t>
      </w:r>
    </w:p>
    <w:p w14:paraId="5A505E2D" w14:textId="77777777" w:rsidR="00B06B6F" w:rsidRPr="00FC7951" w:rsidRDefault="00B06B6F" w:rsidP="00725F19">
      <w:pPr>
        <w:tabs>
          <w:tab w:val="left" w:pos="1134"/>
        </w:tabs>
        <w:ind w:firstLine="709"/>
        <w:jc w:val="both"/>
        <w:rPr>
          <w:rFonts w:ascii="Times New Roman" w:hAnsi="Times New Roman" w:cs="Times New Roman"/>
        </w:rPr>
      </w:pPr>
    </w:p>
    <w:p w14:paraId="5839C275" w14:textId="77777777" w:rsidR="00B06B6F" w:rsidRPr="00FC7951" w:rsidRDefault="00B06B6F" w:rsidP="00725F19">
      <w:pPr>
        <w:jc w:val="right"/>
        <w:rPr>
          <w:rFonts w:ascii="Times New Roman" w:hAnsi="Times New Roman" w:cs="Times New Roman"/>
        </w:rPr>
      </w:pPr>
      <w:r w:rsidRPr="00FC7951">
        <w:rPr>
          <w:rFonts w:ascii="Times New Roman" w:hAnsi="Times New Roman" w:cs="Times New Roman"/>
        </w:rPr>
        <w:t>Таблица Алгоритм принятия решения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B06B6F" w:rsidRPr="00FC7951" w14:paraId="69714E18" w14:textId="77777777" w:rsidTr="001746C7">
        <w:trPr>
          <w:trHeight w:val="503"/>
        </w:trPr>
        <w:tc>
          <w:tcPr>
            <w:tcW w:w="3119" w:type="dxa"/>
            <w:shd w:val="clear" w:color="auto" w:fill="auto"/>
            <w:vAlign w:val="center"/>
          </w:tcPr>
          <w:p w14:paraId="3AE5E1BD"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Варианты автоматического решения</w:t>
            </w:r>
          </w:p>
        </w:tc>
        <w:tc>
          <w:tcPr>
            <w:tcW w:w="6237" w:type="dxa"/>
            <w:shd w:val="clear" w:color="auto" w:fill="auto"/>
            <w:vAlign w:val="center"/>
          </w:tcPr>
          <w:p w14:paraId="2011E455"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Описание и действия Эксперта</w:t>
            </w:r>
          </w:p>
        </w:tc>
      </w:tr>
      <w:tr w:rsidR="00B06B6F" w:rsidRPr="00FC7951" w14:paraId="2A8C63BD" w14:textId="77777777" w:rsidTr="001746C7">
        <w:trPr>
          <w:trHeight w:val="445"/>
        </w:trPr>
        <w:tc>
          <w:tcPr>
            <w:tcW w:w="3119" w:type="dxa"/>
            <w:shd w:val="clear" w:color="auto" w:fill="auto"/>
            <w:vAlign w:val="center"/>
          </w:tcPr>
          <w:p w14:paraId="3ACDD7E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Занести данные отчетности</w:t>
            </w:r>
          </w:p>
        </w:tc>
        <w:tc>
          <w:tcPr>
            <w:tcW w:w="6237" w:type="dxa"/>
            <w:shd w:val="clear" w:color="auto" w:fill="auto"/>
          </w:tcPr>
          <w:p w14:paraId="05E12D1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 занесены данные бухгалтерской отчетности</w:t>
            </w:r>
          </w:p>
        </w:tc>
      </w:tr>
      <w:tr w:rsidR="00B06B6F" w:rsidRPr="00FC7951" w14:paraId="073D3937" w14:textId="77777777" w:rsidTr="001746C7">
        <w:trPr>
          <w:trHeight w:val="885"/>
        </w:trPr>
        <w:tc>
          <w:tcPr>
            <w:tcW w:w="3119" w:type="dxa"/>
            <w:shd w:val="clear" w:color="auto" w:fill="auto"/>
            <w:vAlign w:val="center"/>
          </w:tcPr>
          <w:p w14:paraId="66DB17F5"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Автоматическое принятие решения</w:t>
            </w:r>
          </w:p>
        </w:tc>
        <w:tc>
          <w:tcPr>
            <w:tcW w:w="6237" w:type="dxa"/>
            <w:shd w:val="clear" w:color="auto" w:fill="auto"/>
          </w:tcPr>
          <w:p w14:paraId="7E330B1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данные бухгалтерской отчетности занесены в соответствующие ячейки шаблона (файл Excel),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06B6F" w:rsidRPr="00FC7951" w14:paraId="2E62383D" w14:textId="77777777" w:rsidTr="001746C7">
        <w:trPr>
          <w:trHeight w:val="870"/>
        </w:trPr>
        <w:tc>
          <w:tcPr>
            <w:tcW w:w="3119" w:type="dxa"/>
            <w:shd w:val="clear" w:color="000000" w:fill="FFE5E5"/>
            <w:vAlign w:val="center"/>
          </w:tcPr>
          <w:p w14:paraId="52C8ADF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 соответствует (0)</w:t>
            </w:r>
          </w:p>
        </w:tc>
        <w:tc>
          <w:tcPr>
            <w:tcW w:w="6237" w:type="dxa"/>
            <w:shd w:val="clear" w:color="000000" w:fill="FFE5E5"/>
          </w:tcPr>
          <w:p w14:paraId="77C61B3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Такое автоматическое решение возникает в ситуации, когда участник закупочной процедуры, будучи оценен согласно </w:t>
            </w:r>
            <w:proofErr w:type="spellStart"/>
            <w:r w:rsidRPr="00FC7951">
              <w:rPr>
                <w:rFonts w:ascii="Times New Roman" w:hAnsi="Times New Roman" w:cs="Times New Roman"/>
                <w:color w:val="000000"/>
              </w:rPr>
              <w:t>балльно</w:t>
            </w:r>
            <w:proofErr w:type="spellEnd"/>
            <w:r w:rsidRPr="00FC7951">
              <w:rPr>
                <w:rFonts w:ascii="Times New Roman" w:hAnsi="Times New Roman" w:cs="Times New Roman"/>
                <w:color w:val="000000"/>
              </w:rPr>
              <w:t>-весового подхода, набирает менее 0,45 баллов по шкале от 0 до 1.</w:t>
            </w:r>
          </w:p>
          <w:p w14:paraId="060FFCCF" w14:textId="77777777" w:rsidR="00B06B6F" w:rsidRPr="00FC7951" w:rsidRDefault="00B06B6F" w:rsidP="00725F19">
            <w:pPr>
              <w:jc w:val="both"/>
              <w:rPr>
                <w:rFonts w:ascii="Times New Roman" w:hAnsi="Times New Roman" w:cs="Times New Roman"/>
                <w:i/>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06B6F" w:rsidRPr="00FC7951" w14:paraId="600453AE" w14:textId="77777777" w:rsidTr="001746C7">
        <w:trPr>
          <w:trHeight w:val="850"/>
        </w:trPr>
        <w:tc>
          <w:tcPr>
            <w:tcW w:w="3119" w:type="dxa"/>
            <w:shd w:val="clear" w:color="000000" w:fill="FFE5E5"/>
            <w:vAlign w:val="center"/>
          </w:tcPr>
          <w:p w14:paraId="091447F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 соответствует (0) имеются стоп-факторы</w:t>
            </w:r>
          </w:p>
        </w:tc>
        <w:tc>
          <w:tcPr>
            <w:tcW w:w="6237" w:type="dxa"/>
            <w:shd w:val="clear" w:color="000000" w:fill="FFE5E5"/>
          </w:tcPr>
          <w:p w14:paraId="6A1A87DB"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независимо от набранного количества баллов по шкале от 0 до 1 для оцениваемого участника реализуется хотя бы один из стоп-факторов</w:t>
            </w:r>
          </w:p>
          <w:p w14:paraId="16DAB953"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 xml:space="preserve">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w:t>
            </w:r>
            <w:r w:rsidRPr="00FC7951">
              <w:rPr>
                <w:rFonts w:ascii="Times New Roman" w:hAnsi="Times New Roman" w:cs="Times New Roman"/>
                <w:i/>
                <w:color w:val="000000"/>
              </w:rPr>
              <w:lastRenderedPageBreak/>
              <w:t>оценочной стадии не должна превышать 1 (минимально допустимый уровень)</w:t>
            </w:r>
          </w:p>
        </w:tc>
      </w:tr>
      <w:tr w:rsidR="00B06B6F" w:rsidRPr="00FC7951" w14:paraId="308DF5C6" w14:textId="77777777" w:rsidTr="001746C7">
        <w:trPr>
          <w:trHeight w:val="765"/>
        </w:trPr>
        <w:tc>
          <w:tcPr>
            <w:tcW w:w="3119" w:type="dxa"/>
            <w:shd w:val="clear" w:color="000000" w:fill="F8FFB9"/>
            <w:vAlign w:val="center"/>
          </w:tcPr>
          <w:p w14:paraId="210B32B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lastRenderedPageBreak/>
              <w:t>Необходимо участие эксперта (0)</w:t>
            </w:r>
          </w:p>
          <w:p w14:paraId="45A4B380" w14:textId="77777777" w:rsidR="00B06B6F" w:rsidRPr="00FC7951" w:rsidRDefault="00B06B6F" w:rsidP="00725F19">
            <w:pPr>
              <w:rPr>
                <w:rFonts w:ascii="Times New Roman" w:hAnsi="Times New Roman" w:cs="Times New Roman"/>
                <w:i/>
                <w:color w:val="000000"/>
              </w:rPr>
            </w:pPr>
          </w:p>
          <w:p w14:paraId="5A87115C"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Необходимо участие эксперта (0) имеются риск-факторы</w:t>
            </w:r>
          </w:p>
        </w:tc>
        <w:tc>
          <w:tcPr>
            <w:tcW w:w="6237" w:type="dxa"/>
            <w:shd w:val="clear" w:color="000000" w:fill="F8FFB9"/>
          </w:tcPr>
          <w:p w14:paraId="0AB1EACA"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Такое автоматическое решение соответствует ситуации, когда участник закупочной процедуры набирает от 0,45 до 0,5 баллов по шкале от 0 до 1 (пограничная ситуация). При этом имеется не более двух риск-факторов.</w:t>
            </w:r>
          </w:p>
          <w:p w14:paraId="6688FE3A" w14:textId="77777777" w:rsidR="00B06B6F" w:rsidRPr="00FC7951" w:rsidRDefault="00B06B6F" w:rsidP="00725F19">
            <w:pPr>
              <w:jc w:val="both"/>
              <w:rPr>
                <w:rFonts w:ascii="Times New Roman" w:hAnsi="Times New Roman" w:cs="Times New Roman"/>
                <w:i/>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на отборочной стадии</w:t>
            </w:r>
            <w:r w:rsidRPr="00FC7951">
              <w:rPr>
                <w:rFonts w:ascii="Times New Roman" w:hAnsi="Times New Roman" w:cs="Times New Roman"/>
                <w:b/>
                <w:i/>
                <w:color w:val="000000"/>
              </w:rPr>
              <w:t xml:space="preserve"> </w:t>
            </w:r>
            <w:r w:rsidRPr="00FC7951">
              <w:rPr>
                <w:rFonts w:ascii="Times New Roman" w:hAnsi="Times New Roman" w:cs="Times New Roman"/>
                <w:i/>
                <w:color w:val="000000"/>
              </w:rPr>
              <w:t>в пограничной ситуации</w:t>
            </w:r>
            <w:r w:rsidRPr="00FC7951">
              <w:rPr>
                <w:rFonts w:ascii="Times New Roman" w:hAnsi="Times New Roman" w:cs="Times New Roman"/>
                <w:b/>
                <w:i/>
                <w:color w:val="000000"/>
              </w:rPr>
              <w:t xml:space="preserve"> </w:t>
            </w:r>
            <w:r w:rsidRPr="00FC7951">
              <w:rPr>
                <w:rFonts w:ascii="Times New Roman" w:hAnsi="Times New Roman" w:cs="Times New Roman"/>
                <w:i/>
                <w:color w:val="000000"/>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06B6F" w:rsidRPr="00FC7951" w14:paraId="79E78577" w14:textId="77777777" w:rsidTr="001746C7">
        <w:trPr>
          <w:trHeight w:val="712"/>
        </w:trPr>
        <w:tc>
          <w:tcPr>
            <w:tcW w:w="3119" w:type="dxa"/>
            <w:shd w:val="clear" w:color="000000" w:fill="F8FFB9"/>
            <w:vAlign w:val="center"/>
          </w:tcPr>
          <w:p w14:paraId="511A8CB0"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Необходимо участие эксперта (оценка 1-5) более двух риск факторов</w:t>
            </w:r>
          </w:p>
        </w:tc>
        <w:tc>
          <w:tcPr>
            <w:tcW w:w="6237" w:type="dxa"/>
            <w:shd w:val="clear" w:color="000000" w:fill="F8FFB9"/>
          </w:tcPr>
          <w:p w14:paraId="02941B07"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независимо от набранного количества баллов по шкале от 0 до 1 для оцениваемого участника реализуется более двух риск факторов</w:t>
            </w:r>
          </w:p>
          <w:p w14:paraId="06DD7BEA"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06B6F" w:rsidRPr="00FC7951" w14:paraId="61DC2EF1" w14:textId="77777777" w:rsidTr="001746C7">
        <w:trPr>
          <w:trHeight w:val="2440"/>
        </w:trPr>
        <w:tc>
          <w:tcPr>
            <w:tcW w:w="3119" w:type="dxa"/>
            <w:shd w:val="clear" w:color="000000" w:fill="C6FED1"/>
            <w:vAlign w:val="center"/>
          </w:tcPr>
          <w:p w14:paraId="41F825A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Соответствует (оценка 1-5) имеются риск-факторы</w:t>
            </w:r>
          </w:p>
          <w:p w14:paraId="67CA275A" w14:textId="77777777" w:rsidR="00B06B6F" w:rsidRPr="00FC7951" w:rsidRDefault="00B06B6F" w:rsidP="00725F19">
            <w:pPr>
              <w:rPr>
                <w:rFonts w:ascii="Times New Roman" w:hAnsi="Times New Roman" w:cs="Times New Roman"/>
                <w:i/>
                <w:color w:val="000000"/>
              </w:rPr>
            </w:pPr>
          </w:p>
          <w:p w14:paraId="515488C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Соответствует (оценка 1-5)</w:t>
            </w:r>
          </w:p>
        </w:tc>
        <w:tc>
          <w:tcPr>
            <w:tcW w:w="6237" w:type="dxa"/>
            <w:shd w:val="clear" w:color="000000" w:fill="C6FED1"/>
          </w:tcPr>
          <w:p w14:paraId="331109E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Участник закупочной процедуры набирает более 0,5 баллов по шкале от 0 до 1. При этом имеется не более двух риск-факторов. Далее все участники,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2FB585D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14:paraId="5701C956" w14:textId="77777777" w:rsidR="00B06B6F" w:rsidRPr="00FC7951" w:rsidRDefault="00B06B6F" w:rsidP="00725F19">
      <w:pPr>
        <w:tabs>
          <w:tab w:val="left" w:pos="1134"/>
        </w:tabs>
        <w:ind w:left="709"/>
        <w:jc w:val="both"/>
        <w:rPr>
          <w:rFonts w:ascii="Times New Roman" w:hAnsi="Times New Roman" w:cs="Times New Roman"/>
          <w:b/>
          <w:bCs/>
        </w:rPr>
      </w:pPr>
    </w:p>
    <w:p w14:paraId="7A95D6C2"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bCs/>
        </w:rPr>
      </w:pPr>
      <w:r w:rsidRPr="00FC7951">
        <w:rPr>
          <w:rFonts w:ascii="Times New Roman" w:hAnsi="Times New Roman" w:cs="Times New Roman"/>
          <w:b/>
          <w:bCs/>
        </w:rPr>
        <w:t>Проведение финансово-экономической экспертизы участников закупочных процедур, применяющих упрощенную систему налогообложения (УСН) и индивидуальных предпринимателей</w:t>
      </w:r>
    </w:p>
    <w:p w14:paraId="615CCD9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lastRenderedPageBreak/>
        <w:t>В случае если в соответствии с требованиями Законодательства участники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40489A56"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участников,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участников в рамках проведения финансово-экономической экспертизы осуществляется </w:t>
      </w:r>
      <w:proofErr w:type="spellStart"/>
      <w:r w:rsidRPr="00FC7951">
        <w:rPr>
          <w:rFonts w:ascii="Times New Roman" w:hAnsi="Times New Roman" w:cs="Times New Roman"/>
          <w:bCs/>
        </w:rPr>
        <w:t>экспертно</w:t>
      </w:r>
      <w:proofErr w:type="spellEnd"/>
      <w:r w:rsidRPr="00FC7951">
        <w:rPr>
          <w:rFonts w:ascii="Times New Roman" w:hAnsi="Times New Roman" w:cs="Times New Roman"/>
          <w:bCs/>
        </w:rPr>
        <w:t xml:space="preserve"> с учетом </w:t>
      </w:r>
      <w:proofErr w:type="spellStart"/>
      <w:r w:rsidRPr="00FC7951">
        <w:rPr>
          <w:rFonts w:ascii="Times New Roman" w:hAnsi="Times New Roman" w:cs="Times New Roman"/>
          <w:bCs/>
        </w:rPr>
        <w:t>п.п</w:t>
      </w:r>
      <w:proofErr w:type="spellEnd"/>
      <w:r w:rsidRPr="00FC7951">
        <w:rPr>
          <w:rFonts w:ascii="Times New Roman" w:hAnsi="Times New Roman" w:cs="Times New Roman"/>
          <w:bCs/>
        </w:rPr>
        <w:t xml:space="preserve">. 4.3.-4.6. </w:t>
      </w:r>
      <w:r w:rsidRPr="00FC7951">
        <w:rPr>
          <w:rFonts w:ascii="Times New Roman" w:hAnsi="Times New Roman" w:cs="Times New Roman"/>
        </w:rPr>
        <w:t>настоящего Приложения.</w:t>
      </w:r>
    </w:p>
    <w:p w14:paraId="3C55A5B7"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Решение о прохождении индивидуальным предпринимателем отборочной стадии может быть принято на основании данных налоговых деклараций, </w:t>
      </w:r>
      <w:r w:rsidRPr="00FC7951">
        <w:rPr>
          <w:rFonts w:ascii="Times New Roman" w:hAnsi="Times New Roman" w:cs="Times New Roman"/>
        </w:rPr>
        <w:t>выписок из ЕГРН (об основных характеристиках и зарегистрированных правах на объект недвижимости, об объекте недвижимости) и выписки из БКИ.</w:t>
      </w:r>
    </w:p>
    <w:p w14:paraId="3CC33A78"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rPr>
        <w:t>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 с указанием используемых данных представлен в приложении 4 к Методике.</w:t>
      </w:r>
    </w:p>
    <w:p w14:paraId="28A6D108"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bCs/>
        </w:rPr>
        <w:t>Эксперт проводит проверку соответствия данных ФИО физического лица, за которое предоставляются указанные выписки, наименованию индивидуального предпринимателя, а также проверку актуальности предоставленных выписок. При выявлении несоответствия такие данные не используются.</w:t>
      </w:r>
    </w:p>
    <w:p w14:paraId="22ADE5AB"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bCs/>
        </w:rPr>
        <w:t xml:space="preserve">В части данных выписок из ЕГРН </w:t>
      </w:r>
      <w:r w:rsidRPr="00FC7951">
        <w:rPr>
          <w:rFonts w:ascii="Times New Roman" w:hAnsi="Times New Roman" w:cs="Times New Roman"/>
        </w:rPr>
        <w:t>(об основных характеристиках и зарегистрированных правах на объект недвижимости, об объекте недвижимости) эксперт также проводит проверку соответствия кадастровых номеров в указанных документах.</w:t>
      </w:r>
    </w:p>
    <w:p w14:paraId="045088B9" w14:textId="77777777" w:rsidR="00B06B6F" w:rsidRPr="00FC7951" w:rsidRDefault="00B06B6F" w:rsidP="00725F19">
      <w:pPr>
        <w:tabs>
          <w:tab w:val="left" w:pos="1134"/>
        </w:tabs>
        <w:ind w:left="709"/>
        <w:jc w:val="both"/>
        <w:rPr>
          <w:rFonts w:ascii="Times New Roman" w:hAnsi="Times New Roman" w:cs="Times New Roman"/>
        </w:rPr>
      </w:pPr>
      <w:r w:rsidRPr="00FC7951">
        <w:rPr>
          <w:rFonts w:ascii="Times New Roman" w:hAnsi="Times New Roman" w:cs="Times New Roman"/>
        </w:rPr>
        <w:t>Положения Методики при этом применяются с учетом следующих особенностей:</w:t>
      </w:r>
    </w:p>
    <w:p w14:paraId="2099CC25" w14:textId="77777777" w:rsidR="00B06B6F" w:rsidRPr="00FC7951" w:rsidRDefault="00B06B6F" w:rsidP="00725F19">
      <w:pPr>
        <w:pStyle w:val="ac"/>
        <w:numPr>
          <w:ilvl w:val="2"/>
          <w:numId w:val="16"/>
        </w:numPr>
        <w:ind w:left="0" w:firstLine="720"/>
        <w:jc w:val="both"/>
        <w:rPr>
          <w:bCs/>
        </w:rPr>
      </w:pPr>
      <w:r w:rsidRPr="00FC7951">
        <w:rPr>
          <w:bCs/>
        </w:rPr>
        <w:t>Раздел 7 Методики не применяется с учетом ограниченного набора данных, содержащихся в предоставляемых индивидуальным предпринимателем документов. Оценка по «</w:t>
      </w:r>
      <w:r w:rsidRPr="00FC7951">
        <w:rPr>
          <w:bCs/>
          <w:color w:val="000000"/>
        </w:rPr>
        <w:t xml:space="preserve">Группе финансовых показателей» проводится с использованием </w:t>
      </w:r>
      <w:r w:rsidRPr="00FC7951">
        <w:rPr>
          <w:bCs/>
        </w:rPr>
        <w:t xml:space="preserve">данных </w:t>
      </w:r>
      <w:r w:rsidRPr="00FC7951">
        <w:t>выписок из ЕГРН и выписки из БКИ:</w:t>
      </w:r>
    </w:p>
    <w:p w14:paraId="47395DFD" w14:textId="77777777" w:rsidR="00B06B6F" w:rsidRPr="00FC7951" w:rsidRDefault="00B06B6F" w:rsidP="00725F19">
      <w:pPr>
        <w:pStyle w:val="ac"/>
        <w:numPr>
          <w:ilvl w:val="0"/>
          <w:numId w:val="38"/>
        </w:numPr>
        <w:jc w:val="both"/>
        <w:rPr>
          <w:bCs/>
        </w:rPr>
      </w:pPr>
      <w:r w:rsidRPr="00FC7951">
        <w:rPr>
          <w:bCs/>
        </w:rPr>
        <w:t>Данные текущего баланса по выписке из БКИ (раздел Сводка: Баланс: Текущий)</w:t>
      </w:r>
    </w:p>
    <w:p w14:paraId="7ED795BD" w14:textId="77777777" w:rsidR="00B06B6F" w:rsidRPr="00FC7951" w:rsidRDefault="00B06B6F" w:rsidP="00725F19">
      <w:pPr>
        <w:pStyle w:val="ac"/>
        <w:numPr>
          <w:ilvl w:val="0"/>
          <w:numId w:val="38"/>
        </w:numPr>
        <w:jc w:val="both"/>
        <w:rPr>
          <w:bCs/>
        </w:rPr>
      </w:pPr>
      <w:r w:rsidRPr="00FC7951">
        <w:rPr>
          <w:bCs/>
        </w:rPr>
        <w:t>Данные задолженности по выписке из БКИ (раздел Сводка: Баланс: Задолженность)</w:t>
      </w:r>
    </w:p>
    <w:p w14:paraId="2F9863E7" w14:textId="77777777" w:rsidR="00B06B6F" w:rsidRPr="00FC7951" w:rsidRDefault="00B06B6F" w:rsidP="00725F19">
      <w:pPr>
        <w:pStyle w:val="ac"/>
        <w:numPr>
          <w:ilvl w:val="0"/>
          <w:numId w:val="38"/>
        </w:numPr>
        <w:jc w:val="both"/>
        <w:rPr>
          <w:bCs/>
        </w:rPr>
      </w:pPr>
      <w:r w:rsidRPr="00FC7951">
        <w:rPr>
          <w:bCs/>
        </w:rPr>
        <w:t>Данные просроченной задолженности по выписке из БКИ (раздел Сводка: Баланс: Просрочено)</w:t>
      </w:r>
    </w:p>
    <w:p w14:paraId="043D72A8" w14:textId="77777777" w:rsidR="00B06B6F" w:rsidRPr="00FC7951" w:rsidRDefault="00B06B6F" w:rsidP="00725F19">
      <w:pPr>
        <w:pStyle w:val="ac"/>
        <w:numPr>
          <w:ilvl w:val="0"/>
          <w:numId w:val="38"/>
        </w:numPr>
        <w:jc w:val="both"/>
        <w:rPr>
          <w:bCs/>
        </w:rPr>
      </w:pPr>
      <w:r w:rsidRPr="00FC7951">
        <w:rPr>
          <w:bCs/>
        </w:rPr>
        <w:t>Кадастровая стоимость объектов недвижимости во владении по выписке из ЕГРН</w:t>
      </w:r>
    </w:p>
    <w:p w14:paraId="4464536C"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rPr>
        <w:t xml:space="preserve">Внесение данных выписок </w:t>
      </w:r>
      <w:r w:rsidRPr="00FC7951">
        <w:rPr>
          <w:rFonts w:ascii="Times New Roman" w:hAnsi="Times New Roman" w:cs="Times New Roman"/>
        </w:rPr>
        <w:t>из ЕГРН и выписки из БКИ по</w:t>
      </w:r>
      <w:r w:rsidRPr="00FC7951">
        <w:rPr>
          <w:rFonts w:ascii="Times New Roman" w:hAnsi="Times New Roman" w:cs="Times New Roman"/>
          <w:bCs/>
        </w:rPr>
        <w:t xml:space="preserve"> участнику – индивидуальному предпринимателю </w:t>
      </w:r>
      <w:r w:rsidRPr="00FC7951">
        <w:rPr>
          <w:rFonts w:ascii="Times New Roman" w:hAnsi="Times New Roman" w:cs="Times New Roman"/>
          <w:bCs/>
          <w:color w:val="000000"/>
        </w:rPr>
        <w:t>осуществляются согласно таблице ниже:</w:t>
      </w:r>
    </w:p>
    <w:p w14:paraId="57E13F82" w14:textId="77777777" w:rsidR="00B06B6F" w:rsidRPr="00FC7951" w:rsidRDefault="00B06B6F" w:rsidP="00725F19">
      <w:pPr>
        <w:ind w:firstLine="709"/>
        <w:jc w:val="right"/>
        <w:rPr>
          <w:rFonts w:ascii="Times New Roman" w:hAnsi="Times New Roman" w:cs="Times New Roman"/>
          <w:bCs/>
          <w:color w:val="000000"/>
        </w:rPr>
      </w:pPr>
      <w:r w:rsidRPr="00FC7951">
        <w:rPr>
          <w:rFonts w:ascii="Times New Roman" w:hAnsi="Times New Roman" w:cs="Times New Roman"/>
          <w:bCs/>
          <w:color w:val="000000"/>
        </w:rPr>
        <w:t>Внесение данных по индивидуальному предпринимателю</w:t>
      </w:r>
    </w:p>
    <w:tbl>
      <w:tblPr>
        <w:tblStyle w:val="a7"/>
        <w:tblW w:w="9351" w:type="dxa"/>
        <w:tblLook w:val="04A0" w:firstRow="1" w:lastRow="0" w:firstColumn="1" w:lastColumn="0" w:noHBand="0" w:noVBand="1"/>
      </w:tblPr>
      <w:tblGrid>
        <w:gridCol w:w="4390"/>
        <w:gridCol w:w="4961"/>
      </w:tblGrid>
      <w:tr w:rsidR="00B06B6F" w:rsidRPr="00FC7951" w14:paraId="26338DD1" w14:textId="77777777" w:rsidTr="001746C7">
        <w:tc>
          <w:tcPr>
            <w:tcW w:w="4390" w:type="dxa"/>
          </w:tcPr>
          <w:p w14:paraId="774E3FEE" w14:textId="77777777" w:rsidR="00B06B6F" w:rsidRPr="00FC7951" w:rsidRDefault="00B06B6F" w:rsidP="00725F19">
            <w:pPr>
              <w:jc w:val="both"/>
              <w:rPr>
                <w:b/>
                <w:color w:val="000000"/>
              </w:rPr>
            </w:pPr>
            <w:r w:rsidRPr="00FC7951">
              <w:rPr>
                <w:b/>
                <w:color w:val="000000"/>
              </w:rPr>
              <w:t>Показатель выписки из ЕГРН/БКИ</w:t>
            </w:r>
          </w:p>
        </w:tc>
        <w:tc>
          <w:tcPr>
            <w:tcW w:w="4961" w:type="dxa"/>
          </w:tcPr>
          <w:p w14:paraId="0FF78846" w14:textId="77777777" w:rsidR="00B06B6F" w:rsidRPr="00FC7951" w:rsidRDefault="00B06B6F" w:rsidP="00725F19">
            <w:pPr>
              <w:jc w:val="both"/>
              <w:rPr>
                <w:b/>
                <w:color w:val="000000"/>
              </w:rPr>
            </w:pPr>
            <w:r w:rsidRPr="00FC7951">
              <w:rPr>
                <w:b/>
                <w:color w:val="000000"/>
              </w:rPr>
              <w:t>Строка формы внесения бухгалтерской отчетности</w:t>
            </w:r>
          </w:p>
        </w:tc>
      </w:tr>
      <w:tr w:rsidR="00B06B6F" w:rsidRPr="00FC7951" w14:paraId="63BE1A1F" w14:textId="77777777" w:rsidTr="001746C7">
        <w:tc>
          <w:tcPr>
            <w:tcW w:w="4390" w:type="dxa"/>
            <w:vAlign w:val="center"/>
          </w:tcPr>
          <w:p w14:paraId="22D46118" w14:textId="77777777" w:rsidR="00B06B6F" w:rsidRPr="00FC7951" w:rsidRDefault="00B06B6F" w:rsidP="00725F19">
            <w:pPr>
              <w:rPr>
                <w:bCs/>
                <w:color w:val="000000"/>
              </w:rPr>
            </w:pPr>
            <w:r w:rsidRPr="00FC7951">
              <w:rPr>
                <w:bCs/>
              </w:rPr>
              <w:t xml:space="preserve">Данные текущего баланса по выписке из БКИ </w:t>
            </w:r>
          </w:p>
        </w:tc>
        <w:tc>
          <w:tcPr>
            <w:tcW w:w="4961" w:type="dxa"/>
          </w:tcPr>
          <w:p w14:paraId="489DAB36" w14:textId="77777777" w:rsidR="00B06B6F" w:rsidRPr="00FC7951" w:rsidRDefault="00B06B6F" w:rsidP="00725F19">
            <w:pPr>
              <w:jc w:val="both"/>
              <w:rPr>
                <w:bCs/>
                <w:color w:val="000000"/>
              </w:rPr>
            </w:pPr>
            <w:r w:rsidRPr="00FC7951">
              <w:rPr>
                <w:bCs/>
                <w:color w:val="000000"/>
              </w:rPr>
              <w:t>«Денежные средства»</w:t>
            </w:r>
          </w:p>
        </w:tc>
      </w:tr>
      <w:tr w:rsidR="00B06B6F" w:rsidRPr="00FC7951" w14:paraId="7BA2600A" w14:textId="77777777" w:rsidTr="001746C7">
        <w:tc>
          <w:tcPr>
            <w:tcW w:w="4390" w:type="dxa"/>
            <w:vAlign w:val="center"/>
          </w:tcPr>
          <w:p w14:paraId="0EFCF97F" w14:textId="77777777" w:rsidR="00B06B6F" w:rsidRPr="00FC7951" w:rsidRDefault="00B06B6F" w:rsidP="00725F19">
            <w:pPr>
              <w:rPr>
                <w:bCs/>
                <w:color w:val="000000"/>
              </w:rPr>
            </w:pPr>
            <w:r w:rsidRPr="00FC7951">
              <w:rPr>
                <w:bCs/>
              </w:rPr>
              <w:t>Данные задолженности по выписке из БКИ</w:t>
            </w:r>
          </w:p>
        </w:tc>
        <w:tc>
          <w:tcPr>
            <w:tcW w:w="4961" w:type="dxa"/>
          </w:tcPr>
          <w:p w14:paraId="19FC35A3" w14:textId="77777777" w:rsidR="00B06B6F" w:rsidRPr="00FC7951" w:rsidRDefault="00B06B6F" w:rsidP="00725F19">
            <w:pPr>
              <w:jc w:val="both"/>
              <w:rPr>
                <w:bCs/>
                <w:color w:val="000000"/>
              </w:rPr>
            </w:pPr>
            <w:r w:rsidRPr="00FC7951">
              <w:rPr>
                <w:bCs/>
                <w:color w:val="000000"/>
              </w:rPr>
              <w:t>«Краткосрочные заемные средства»</w:t>
            </w:r>
          </w:p>
        </w:tc>
      </w:tr>
      <w:tr w:rsidR="00B06B6F" w:rsidRPr="00FC7951" w14:paraId="24FF8799" w14:textId="77777777" w:rsidTr="001746C7">
        <w:tc>
          <w:tcPr>
            <w:tcW w:w="4390" w:type="dxa"/>
            <w:vAlign w:val="center"/>
          </w:tcPr>
          <w:p w14:paraId="1F4B57D2" w14:textId="77777777" w:rsidR="00B06B6F" w:rsidRPr="00FC7951" w:rsidRDefault="00B06B6F" w:rsidP="00725F19">
            <w:pPr>
              <w:rPr>
                <w:bCs/>
              </w:rPr>
            </w:pPr>
            <w:r w:rsidRPr="00FC7951">
              <w:rPr>
                <w:bCs/>
              </w:rPr>
              <w:t>Данные просроченной задолженности по выписке из БКИ</w:t>
            </w:r>
          </w:p>
        </w:tc>
        <w:tc>
          <w:tcPr>
            <w:tcW w:w="4961" w:type="dxa"/>
          </w:tcPr>
          <w:p w14:paraId="2874D441" w14:textId="77777777" w:rsidR="00B06B6F" w:rsidRPr="00FC7951" w:rsidRDefault="00B06B6F" w:rsidP="00725F19">
            <w:pPr>
              <w:jc w:val="both"/>
              <w:rPr>
                <w:bCs/>
                <w:color w:val="000000"/>
              </w:rPr>
            </w:pPr>
            <w:r w:rsidRPr="00FC7951">
              <w:rPr>
                <w:bCs/>
                <w:color w:val="000000"/>
              </w:rPr>
              <w:t>«Нераспределенная прибыль (непокрытый убыток)» (значение вносится со знаком минус)</w:t>
            </w:r>
          </w:p>
        </w:tc>
      </w:tr>
      <w:tr w:rsidR="00B06B6F" w:rsidRPr="00FC7951" w14:paraId="588EF39E" w14:textId="77777777" w:rsidTr="001746C7">
        <w:tc>
          <w:tcPr>
            <w:tcW w:w="4390" w:type="dxa"/>
            <w:vAlign w:val="center"/>
          </w:tcPr>
          <w:p w14:paraId="7A01C515" w14:textId="77777777" w:rsidR="00B06B6F" w:rsidRPr="00FC7951" w:rsidRDefault="00B06B6F" w:rsidP="00725F19">
            <w:pPr>
              <w:rPr>
                <w:bCs/>
                <w:color w:val="000000"/>
              </w:rPr>
            </w:pPr>
            <w:r w:rsidRPr="00FC7951">
              <w:rPr>
                <w:bCs/>
              </w:rPr>
              <w:lastRenderedPageBreak/>
              <w:t>Кадастровая стоимость объектов недвижимости в собственности по выпискам из ЕГРН</w:t>
            </w:r>
          </w:p>
        </w:tc>
        <w:tc>
          <w:tcPr>
            <w:tcW w:w="4961" w:type="dxa"/>
          </w:tcPr>
          <w:p w14:paraId="30F2A1ED" w14:textId="77777777" w:rsidR="00B06B6F" w:rsidRPr="00FC7951" w:rsidRDefault="00B06B6F" w:rsidP="00725F19">
            <w:pPr>
              <w:jc w:val="both"/>
              <w:rPr>
                <w:bCs/>
                <w:color w:val="000000"/>
              </w:rPr>
            </w:pPr>
            <w:r w:rsidRPr="00FC7951">
              <w:rPr>
                <w:bCs/>
                <w:color w:val="000000"/>
              </w:rPr>
              <w:t>«Основные средства»</w:t>
            </w:r>
          </w:p>
          <w:p w14:paraId="673ADF21" w14:textId="77777777" w:rsidR="00B06B6F" w:rsidRPr="00FC7951" w:rsidRDefault="00B06B6F" w:rsidP="00725F19">
            <w:pPr>
              <w:jc w:val="both"/>
              <w:rPr>
                <w:bCs/>
                <w:color w:val="000000"/>
              </w:rPr>
            </w:pPr>
          </w:p>
        </w:tc>
      </w:tr>
    </w:tbl>
    <w:p w14:paraId="7F24CD2F"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В целях корректной работы шаблона указанные в таблице выше данные рекомендуется вносить в форму на каждую отчетную дату.</w:t>
      </w:r>
    </w:p>
    <w:p w14:paraId="41E08DA5"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При этом, заполнение формы внесения данных бухгалтерской отчетности не является составлением баланса индивидуального предпринимателя.</w:t>
      </w:r>
    </w:p>
    <w:p w14:paraId="5EA6B94C" w14:textId="77777777" w:rsidR="00B06B6F" w:rsidRPr="00FC7951" w:rsidRDefault="00B06B6F" w:rsidP="00725F19">
      <w:pPr>
        <w:ind w:firstLine="709"/>
        <w:jc w:val="both"/>
        <w:rPr>
          <w:rFonts w:ascii="Times New Roman" w:hAnsi="Times New Roman" w:cs="Times New Roman"/>
          <w:bCs/>
        </w:rPr>
      </w:pPr>
      <w:r w:rsidRPr="00FC7951">
        <w:rPr>
          <w:rFonts w:ascii="Times New Roman" w:hAnsi="Times New Roman" w:cs="Times New Roman"/>
          <w:bCs/>
        </w:rPr>
        <w:t xml:space="preserve">После внесения данных выписок </w:t>
      </w:r>
      <w:r w:rsidRPr="00FC7951">
        <w:rPr>
          <w:rFonts w:ascii="Times New Roman" w:hAnsi="Times New Roman" w:cs="Times New Roman"/>
        </w:rPr>
        <w:t>из ЕГРН и выписки из БКИ</w:t>
      </w:r>
      <w:r w:rsidRPr="00FC7951">
        <w:rPr>
          <w:rFonts w:ascii="Times New Roman" w:hAnsi="Times New Roman" w:cs="Times New Roman"/>
          <w:bCs/>
        </w:rPr>
        <w:t xml:space="preserve"> эксперт с использованием предусмотренной (на вкладках внесения данных по участникам) шаблоном </w:t>
      </w:r>
      <w:r w:rsidRPr="00FC7951">
        <w:rPr>
          <w:rStyle w:val="10"/>
          <w:rFonts w:eastAsiaTheme="minorHAnsi"/>
          <w:bCs/>
        </w:rPr>
        <w:t>«Финэкспертиза.</w:t>
      </w:r>
      <w:proofErr w:type="spellStart"/>
      <w:r w:rsidRPr="00FC7951">
        <w:rPr>
          <w:rStyle w:val="10"/>
          <w:rFonts w:eastAsiaTheme="minorHAnsi"/>
          <w:bCs/>
          <w:lang w:val="en-US"/>
        </w:rPr>
        <w:t>xls</w:t>
      </w:r>
      <w:proofErr w:type="spellEnd"/>
      <w:r w:rsidRPr="00FC7951">
        <w:rPr>
          <w:rStyle w:val="10"/>
          <w:rFonts w:eastAsiaTheme="minorHAnsi"/>
          <w:bCs/>
        </w:rPr>
        <w:t>»</w:t>
      </w:r>
      <w:r w:rsidRPr="00FC7951">
        <w:rPr>
          <w:rStyle w:val="10"/>
          <w:rFonts w:eastAsiaTheme="minorHAnsi"/>
        </w:rPr>
        <w:t xml:space="preserve"> </w:t>
      </w:r>
      <w:r w:rsidRPr="00FC7951">
        <w:rPr>
          <w:rFonts w:ascii="Times New Roman" w:hAnsi="Times New Roman" w:cs="Times New Roman"/>
          <w:bCs/>
        </w:rPr>
        <w:t xml:space="preserve">таблицы осуществляет расчет величины чистых активов индивидуального предпринимателя по следующей формуле, после чего вносит результат в строку «Итого Капитал и резервы» </w:t>
      </w:r>
      <w:r w:rsidRPr="00FC7951">
        <w:rPr>
          <w:rFonts w:ascii="Times New Roman" w:hAnsi="Times New Roman" w:cs="Times New Roman"/>
          <w:bCs/>
          <w:color w:val="000000"/>
        </w:rPr>
        <w:t>формы внесения бухгалтерской отчетности</w:t>
      </w:r>
      <w:r w:rsidRPr="00FC7951">
        <w:rPr>
          <w:rFonts w:ascii="Times New Roman" w:hAnsi="Times New Roman" w:cs="Times New Roman"/>
          <w:bCs/>
        </w:rPr>
        <w:t>:</w:t>
      </w:r>
    </w:p>
    <w:p w14:paraId="3D1F87F4"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
          <m:r>
            <m:rPr>
              <m:sty m:val="p"/>
            </m:rPr>
            <w:rPr>
              <w:rFonts w:ascii="Cambria Math" w:hAnsi="Cambria Math" w:cs="Times New Roman"/>
            </w:rPr>
            <m:t>Чистые активы индвидуального предпринимателя=</m:t>
          </m:r>
          <m:r>
            <w:rPr>
              <w:rFonts w:ascii="Cambria Math" w:hAnsi="Cambria Math" w:cs="Times New Roman"/>
            </w:rPr>
            <m:t xml:space="preserve"> </m:t>
          </m:r>
          <m:r>
            <m:rPr>
              <m:sty m:val="p"/>
            </m:rPr>
            <w:rPr>
              <w:rFonts w:ascii="Cambria Math" w:hAnsi="Cambria Math" w:cs="Times New Roman"/>
            </w:rPr>
            <m:t>Данные текущего баланса+ Кадастровая стоимость объектов недвижимости во владении - Данные задолженности по выписке из БКИ</m:t>
          </m:r>
        </m:oMath>
      </m:oMathPara>
    </w:p>
    <w:p w14:paraId="7DAF7254" w14:textId="77777777" w:rsidR="00B06B6F" w:rsidRPr="00FC7951" w:rsidRDefault="00B06B6F" w:rsidP="00725F19">
      <w:pPr>
        <w:ind w:firstLine="709"/>
        <w:jc w:val="both"/>
        <w:rPr>
          <w:rFonts w:ascii="Times New Roman" w:hAnsi="Times New Roman" w:cs="Times New Roman"/>
          <w:bCs/>
        </w:rPr>
      </w:pPr>
      <w:r w:rsidRPr="00FC7951">
        <w:rPr>
          <w:rFonts w:ascii="Times New Roman" w:hAnsi="Times New Roman" w:cs="Times New Roman"/>
          <w:bCs/>
        </w:rPr>
        <w:t xml:space="preserve">Эксперт с использованием предусмотренной (на вкладках внесения данных по участникам) шаблоном </w:t>
      </w:r>
      <w:r w:rsidRPr="00FC7951">
        <w:rPr>
          <w:rStyle w:val="10"/>
          <w:rFonts w:eastAsiaTheme="minorHAnsi"/>
          <w:bCs/>
        </w:rPr>
        <w:t>«Финэкспертиза.</w:t>
      </w:r>
      <w:proofErr w:type="spellStart"/>
      <w:r w:rsidRPr="00FC7951">
        <w:rPr>
          <w:rStyle w:val="10"/>
          <w:rFonts w:eastAsiaTheme="minorHAnsi"/>
          <w:bCs/>
          <w:lang w:val="en-US"/>
        </w:rPr>
        <w:t>xls</w:t>
      </w:r>
      <w:proofErr w:type="spellEnd"/>
      <w:r w:rsidRPr="00FC7951">
        <w:rPr>
          <w:rStyle w:val="10"/>
          <w:rFonts w:eastAsiaTheme="minorHAnsi"/>
          <w:bCs/>
        </w:rPr>
        <w:t>»</w:t>
      </w:r>
      <w:r w:rsidRPr="00FC7951">
        <w:rPr>
          <w:rStyle w:val="10"/>
          <w:rFonts w:eastAsiaTheme="minorHAnsi"/>
        </w:rPr>
        <w:t xml:space="preserve"> </w:t>
      </w:r>
      <w:r w:rsidRPr="00FC7951">
        <w:rPr>
          <w:rFonts w:ascii="Times New Roman" w:hAnsi="Times New Roman" w:cs="Times New Roman"/>
          <w:bCs/>
        </w:rPr>
        <w:t>таблицы также осуществляет расчет коэффициента «Финансовая устойчивость индивидуального предпринимателя» по следующей формуле:</w:t>
      </w:r>
    </w:p>
    <w:p w14:paraId="4EC206C9" w14:textId="77777777" w:rsidR="00B06B6F" w:rsidRPr="00FC7951" w:rsidRDefault="00B06B6F" w:rsidP="00725F19">
      <w:pPr>
        <w:tabs>
          <w:tab w:val="left" w:pos="1134"/>
        </w:tabs>
        <w:spacing w:before="120" w:after="120"/>
        <w:ind w:firstLine="709"/>
        <w:jc w:val="both"/>
        <w:rPr>
          <w:rFonts w:ascii="Times New Roman" w:hAnsi="Times New Roman" w:cs="Times New Roman"/>
          <w:sz w:val="52"/>
          <w:szCs w:val="52"/>
        </w:rPr>
      </w:pPr>
      <m:oMathPara>
        <m:oMath>
          <m:r>
            <m:rPr>
              <m:sty m:val="p"/>
            </m:rPr>
            <w:rPr>
              <w:rFonts w:ascii="Cambria Math" w:hAnsi="Cambria Math" w:cs="Times New Roman"/>
            </w:rPr>
            <m:t>Финансовая устойчивость индивидуального предпринимателя=</m:t>
          </m:r>
          <m:f>
            <m:fPr>
              <m:ctrlPr>
                <w:rPr>
                  <w:rFonts w:ascii="Cambria Math" w:hAnsi="Cambria Math" w:cs="Times New Roman"/>
                  <w:bCs/>
                </w:rPr>
              </m:ctrlPr>
            </m:fPr>
            <m:num>
              <m:r>
                <w:rPr>
                  <w:rFonts w:ascii="Cambria Math" w:hAnsi="Cambria Math" w:cs="Times New Roman"/>
                </w:rPr>
                <m:t>(</m:t>
              </m:r>
              <m:r>
                <m:rPr>
                  <m:sty m:val="p"/>
                </m:rPr>
                <w:rPr>
                  <w:rFonts w:ascii="Cambria Math" w:hAnsi="Cambria Math" w:cs="Times New Roman"/>
                </w:rPr>
                <m:t>Данные текущего баланса + Кадастровая стоимость объектов недвижимости во владении )</m:t>
              </m:r>
            </m:num>
            <m:den>
              <m:r>
                <m:rPr>
                  <m:sty m:val="p"/>
                </m:rPr>
                <w:rPr>
                  <w:rFonts w:ascii="Cambria Math" w:hAnsi="Cambria Math" w:cs="Times New Roman"/>
                </w:rPr>
                <m:t>Данные задолженности по выписке из БКИ</m:t>
              </m:r>
            </m:den>
          </m:f>
          <m:r>
            <m:rPr>
              <m:sty m:val="p"/>
            </m:rPr>
            <w:rPr>
              <w:rFonts w:ascii="Cambria Math" w:hAnsi="Cambria Math" w:cs="Times New Roman"/>
            </w:rPr>
            <m:t xml:space="preserve"> </m:t>
          </m:r>
        </m:oMath>
      </m:oMathPara>
    </w:p>
    <w:p w14:paraId="048B3A0B" w14:textId="77777777" w:rsidR="00B06B6F" w:rsidRPr="00FC7951" w:rsidRDefault="00B06B6F" w:rsidP="00725F19">
      <w:pPr>
        <w:ind w:firstLine="709"/>
        <w:jc w:val="both"/>
        <w:rPr>
          <w:rFonts w:ascii="Times New Roman" w:hAnsi="Times New Roman" w:cs="Times New Roman"/>
          <w:bCs/>
        </w:rPr>
      </w:pPr>
    </w:p>
    <w:p w14:paraId="6C3E767C"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rPr>
        <w:t>После внесения всех данных и расчетов оценка по «</w:t>
      </w:r>
      <w:r w:rsidRPr="00FC7951">
        <w:rPr>
          <w:rFonts w:ascii="Times New Roman" w:hAnsi="Times New Roman" w:cs="Times New Roman"/>
          <w:bCs/>
          <w:color w:val="000000"/>
        </w:rPr>
        <w:t xml:space="preserve">Группе финансовых показателей» </w:t>
      </w:r>
      <w:r w:rsidRPr="00FC7951">
        <w:rPr>
          <w:rFonts w:ascii="Times New Roman" w:hAnsi="Times New Roman" w:cs="Times New Roman"/>
          <w:bCs/>
        </w:rPr>
        <w:t xml:space="preserve">по участнику – индивидуальному предпринимателю </w:t>
      </w:r>
      <w:r w:rsidRPr="00FC7951">
        <w:rPr>
          <w:rFonts w:ascii="Times New Roman" w:hAnsi="Times New Roman" w:cs="Times New Roman"/>
          <w:bCs/>
          <w:color w:val="000000"/>
        </w:rPr>
        <w:t>осуществляются согласно таблице ниже:</w:t>
      </w:r>
    </w:p>
    <w:tbl>
      <w:tblPr>
        <w:tblStyle w:val="a7"/>
        <w:tblW w:w="9351" w:type="dxa"/>
        <w:tblLayout w:type="fixed"/>
        <w:tblLook w:val="04A0" w:firstRow="1" w:lastRow="0" w:firstColumn="1" w:lastColumn="0" w:noHBand="0" w:noVBand="1"/>
      </w:tblPr>
      <w:tblGrid>
        <w:gridCol w:w="2830"/>
        <w:gridCol w:w="3544"/>
        <w:gridCol w:w="2977"/>
      </w:tblGrid>
      <w:tr w:rsidR="00B06B6F" w:rsidRPr="00FC7951" w14:paraId="5CC9D09D" w14:textId="77777777" w:rsidTr="001746C7">
        <w:tc>
          <w:tcPr>
            <w:tcW w:w="2830" w:type="dxa"/>
          </w:tcPr>
          <w:p w14:paraId="33545F9E" w14:textId="77777777" w:rsidR="00B06B6F" w:rsidRPr="00FC7951" w:rsidRDefault="00B06B6F" w:rsidP="00725F19">
            <w:pPr>
              <w:jc w:val="both"/>
              <w:rPr>
                <w:bCs/>
                <w:color w:val="000000"/>
              </w:rPr>
            </w:pPr>
            <w:r w:rsidRPr="00FC7951">
              <w:rPr>
                <w:bCs/>
                <w:color w:val="000000"/>
              </w:rPr>
              <w:t xml:space="preserve">Коэффициент </w:t>
            </w:r>
            <w:r w:rsidRPr="00FC7951">
              <w:rPr>
                <w:bCs/>
              </w:rPr>
              <w:t>«Финансовая устойчивость индивидуального предпринимателя», левая граница</w:t>
            </w:r>
          </w:p>
        </w:tc>
        <w:tc>
          <w:tcPr>
            <w:tcW w:w="3544" w:type="dxa"/>
          </w:tcPr>
          <w:p w14:paraId="46E511E1" w14:textId="77777777" w:rsidR="00B06B6F" w:rsidRPr="00FC7951" w:rsidRDefault="00B06B6F" w:rsidP="00725F19">
            <w:pPr>
              <w:jc w:val="both"/>
              <w:rPr>
                <w:bCs/>
                <w:color w:val="000000"/>
              </w:rPr>
            </w:pPr>
            <w:r w:rsidRPr="00FC7951">
              <w:rPr>
                <w:bCs/>
                <w:color w:val="000000"/>
              </w:rPr>
              <w:t xml:space="preserve">Коэффициент </w:t>
            </w:r>
            <w:r w:rsidRPr="00FC7951">
              <w:rPr>
                <w:bCs/>
              </w:rPr>
              <w:t>«Финансовая устойчивость индивидуального предпринимателя», правая граница</w:t>
            </w:r>
          </w:p>
        </w:tc>
        <w:tc>
          <w:tcPr>
            <w:tcW w:w="2977" w:type="dxa"/>
          </w:tcPr>
          <w:p w14:paraId="5CEBCAA4" w14:textId="77777777" w:rsidR="00B06B6F" w:rsidRPr="00FC7951" w:rsidRDefault="00B06B6F" w:rsidP="00725F19">
            <w:pPr>
              <w:jc w:val="both"/>
              <w:rPr>
                <w:bCs/>
                <w:color w:val="000000"/>
              </w:rPr>
            </w:pPr>
            <w:r w:rsidRPr="00FC7951">
              <w:rPr>
                <w:bCs/>
              </w:rPr>
              <w:t>Оценка по «</w:t>
            </w:r>
            <w:r w:rsidRPr="00FC7951">
              <w:rPr>
                <w:bCs/>
                <w:color w:val="000000"/>
              </w:rPr>
              <w:t>Группе финансовых показателей»</w:t>
            </w:r>
          </w:p>
        </w:tc>
      </w:tr>
      <w:tr w:rsidR="00B06B6F" w:rsidRPr="00FC7951" w14:paraId="287827F6" w14:textId="77777777" w:rsidTr="001746C7">
        <w:tc>
          <w:tcPr>
            <w:tcW w:w="2830" w:type="dxa"/>
            <w:vAlign w:val="center"/>
          </w:tcPr>
          <w:p w14:paraId="45550B79" w14:textId="77777777" w:rsidR="00B06B6F" w:rsidRPr="00FC7951" w:rsidRDefault="00B06B6F" w:rsidP="00725F19">
            <w:pPr>
              <w:jc w:val="center"/>
              <w:rPr>
                <w:bCs/>
                <w:color w:val="000000"/>
              </w:rPr>
            </w:pPr>
            <w:r w:rsidRPr="00FC7951">
              <w:rPr>
                <w:bCs/>
                <w:color w:val="000000"/>
              </w:rPr>
              <w:t>-</w:t>
            </w:r>
          </w:p>
        </w:tc>
        <w:tc>
          <w:tcPr>
            <w:tcW w:w="3544" w:type="dxa"/>
            <w:vAlign w:val="center"/>
          </w:tcPr>
          <w:p w14:paraId="6AA60522" w14:textId="77777777" w:rsidR="00B06B6F" w:rsidRPr="00FC7951" w:rsidRDefault="00B06B6F" w:rsidP="00725F19">
            <w:pPr>
              <w:jc w:val="center"/>
              <w:rPr>
                <w:bCs/>
                <w:color w:val="000000"/>
              </w:rPr>
            </w:pPr>
            <w:r w:rsidRPr="00FC7951">
              <w:rPr>
                <w:bCs/>
                <w:color w:val="000000"/>
              </w:rPr>
              <w:t>менее 1,0</w:t>
            </w:r>
          </w:p>
        </w:tc>
        <w:tc>
          <w:tcPr>
            <w:tcW w:w="2977" w:type="dxa"/>
            <w:vAlign w:val="center"/>
          </w:tcPr>
          <w:p w14:paraId="7E1FE3EE" w14:textId="77777777" w:rsidR="00B06B6F" w:rsidRPr="00FC7951" w:rsidRDefault="00B06B6F" w:rsidP="00725F19">
            <w:pPr>
              <w:jc w:val="center"/>
              <w:rPr>
                <w:bCs/>
                <w:color w:val="000000"/>
              </w:rPr>
            </w:pPr>
            <w:r w:rsidRPr="00FC7951">
              <w:rPr>
                <w:bCs/>
                <w:color w:val="000000"/>
              </w:rPr>
              <w:t xml:space="preserve">Стоп-фактор (по аналогии с </w:t>
            </w:r>
            <w:r w:rsidRPr="00FC7951">
              <w:t>отрицательным значением 3-го раздела баланса (капитал и резервы)</w:t>
            </w:r>
          </w:p>
        </w:tc>
      </w:tr>
      <w:tr w:rsidR="00B06B6F" w:rsidRPr="00FC7951" w14:paraId="2A462BC3" w14:textId="77777777" w:rsidTr="001746C7">
        <w:tc>
          <w:tcPr>
            <w:tcW w:w="2830" w:type="dxa"/>
          </w:tcPr>
          <w:p w14:paraId="24A1BDA5" w14:textId="77777777" w:rsidR="00B06B6F" w:rsidRPr="00FC7951" w:rsidRDefault="00B06B6F" w:rsidP="00725F19">
            <w:pPr>
              <w:jc w:val="center"/>
              <w:rPr>
                <w:bCs/>
                <w:color w:val="000000"/>
              </w:rPr>
            </w:pPr>
            <w:r w:rsidRPr="00FC7951">
              <w:rPr>
                <w:bCs/>
                <w:color w:val="000000"/>
              </w:rPr>
              <w:t>более или равно 1,0</w:t>
            </w:r>
          </w:p>
        </w:tc>
        <w:tc>
          <w:tcPr>
            <w:tcW w:w="3544" w:type="dxa"/>
          </w:tcPr>
          <w:p w14:paraId="6BF51C09" w14:textId="77777777" w:rsidR="00B06B6F" w:rsidRPr="00FC7951" w:rsidRDefault="00B06B6F" w:rsidP="00725F19">
            <w:pPr>
              <w:jc w:val="center"/>
              <w:rPr>
                <w:bCs/>
                <w:color w:val="000000"/>
              </w:rPr>
            </w:pPr>
            <w:r w:rsidRPr="00FC7951">
              <w:rPr>
                <w:bCs/>
                <w:color w:val="000000"/>
              </w:rPr>
              <w:t>менее 1,5</w:t>
            </w:r>
          </w:p>
        </w:tc>
        <w:tc>
          <w:tcPr>
            <w:tcW w:w="2977" w:type="dxa"/>
          </w:tcPr>
          <w:p w14:paraId="35416ED8" w14:textId="77777777" w:rsidR="00B06B6F" w:rsidRPr="00FC7951" w:rsidRDefault="00B06B6F" w:rsidP="00725F19">
            <w:pPr>
              <w:jc w:val="center"/>
              <w:rPr>
                <w:bCs/>
                <w:color w:val="000000"/>
              </w:rPr>
            </w:pPr>
            <w:r w:rsidRPr="00FC7951">
              <w:rPr>
                <w:bCs/>
                <w:color w:val="000000"/>
              </w:rPr>
              <w:t>0,14</w:t>
            </w:r>
          </w:p>
        </w:tc>
      </w:tr>
      <w:tr w:rsidR="00B06B6F" w:rsidRPr="00FC7951" w14:paraId="58454BA6" w14:textId="77777777" w:rsidTr="001746C7">
        <w:tc>
          <w:tcPr>
            <w:tcW w:w="2830" w:type="dxa"/>
          </w:tcPr>
          <w:p w14:paraId="6109A2C4" w14:textId="77777777" w:rsidR="00B06B6F" w:rsidRPr="00FC7951" w:rsidRDefault="00B06B6F" w:rsidP="00725F19">
            <w:pPr>
              <w:jc w:val="center"/>
              <w:rPr>
                <w:bCs/>
                <w:color w:val="000000"/>
              </w:rPr>
            </w:pPr>
            <w:r w:rsidRPr="00FC7951">
              <w:rPr>
                <w:bCs/>
                <w:color w:val="000000"/>
              </w:rPr>
              <w:t>более или равно 1,5</w:t>
            </w:r>
          </w:p>
        </w:tc>
        <w:tc>
          <w:tcPr>
            <w:tcW w:w="3544" w:type="dxa"/>
          </w:tcPr>
          <w:p w14:paraId="49B62B9E" w14:textId="77777777" w:rsidR="00B06B6F" w:rsidRPr="00FC7951" w:rsidRDefault="00B06B6F" w:rsidP="00725F19">
            <w:pPr>
              <w:jc w:val="center"/>
              <w:rPr>
                <w:bCs/>
                <w:color w:val="000000"/>
              </w:rPr>
            </w:pPr>
            <w:r w:rsidRPr="00FC7951">
              <w:rPr>
                <w:bCs/>
                <w:color w:val="000000"/>
              </w:rPr>
              <w:t>менее 2,0</w:t>
            </w:r>
          </w:p>
        </w:tc>
        <w:tc>
          <w:tcPr>
            <w:tcW w:w="2977" w:type="dxa"/>
          </w:tcPr>
          <w:p w14:paraId="6CB4343F" w14:textId="77777777" w:rsidR="00B06B6F" w:rsidRPr="00FC7951" w:rsidRDefault="00B06B6F" w:rsidP="00725F19">
            <w:pPr>
              <w:jc w:val="center"/>
              <w:rPr>
                <w:bCs/>
                <w:color w:val="000000"/>
              </w:rPr>
            </w:pPr>
            <w:r w:rsidRPr="00FC7951">
              <w:rPr>
                <w:bCs/>
                <w:color w:val="000000"/>
              </w:rPr>
              <w:t>0,35</w:t>
            </w:r>
          </w:p>
        </w:tc>
      </w:tr>
      <w:tr w:rsidR="00B06B6F" w:rsidRPr="00FC7951" w14:paraId="4B2420D4" w14:textId="77777777" w:rsidTr="001746C7">
        <w:tc>
          <w:tcPr>
            <w:tcW w:w="2830" w:type="dxa"/>
          </w:tcPr>
          <w:p w14:paraId="7573F565" w14:textId="77777777" w:rsidR="00B06B6F" w:rsidRPr="00FC7951" w:rsidRDefault="00B06B6F" w:rsidP="00725F19">
            <w:pPr>
              <w:jc w:val="center"/>
              <w:rPr>
                <w:bCs/>
                <w:color w:val="000000"/>
              </w:rPr>
            </w:pPr>
            <w:r w:rsidRPr="00FC7951">
              <w:rPr>
                <w:bCs/>
                <w:color w:val="000000"/>
              </w:rPr>
              <w:t>более или равно 2</w:t>
            </w:r>
          </w:p>
          <w:p w14:paraId="7C9A1893" w14:textId="77777777" w:rsidR="00B06B6F" w:rsidRPr="00FC7951" w:rsidRDefault="00B06B6F" w:rsidP="00725F19">
            <w:pPr>
              <w:jc w:val="center"/>
              <w:rPr>
                <w:bCs/>
                <w:color w:val="000000"/>
              </w:rPr>
            </w:pPr>
            <w:r w:rsidRPr="00FC7951">
              <w:rPr>
                <w:bCs/>
                <w:color w:val="000000"/>
              </w:rPr>
              <w:t>или</w:t>
            </w:r>
          </w:p>
          <w:p w14:paraId="3EADCD64" w14:textId="77777777" w:rsidR="00B06B6F" w:rsidRPr="00FC7951" w:rsidRDefault="00B06B6F" w:rsidP="00725F19">
            <w:pPr>
              <w:jc w:val="center"/>
              <w:rPr>
                <w:bCs/>
                <w:color w:val="000000"/>
              </w:rPr>
            </w:pPr>
            <w:r w:rsidRPr="00FC7951">
              <w:rPr>
                <w:bCs/>
                <w:color w:val="000000"/>
              </w:rPr>
              <w:t>отсутствует задолженность по выписке из БКИ</w:t>
            </w:r>
          </w:p>
        </w:tc>
        <w:tc>
          <w:tcPr>
            <w:tcW w:w="3544" w:type="dxa"/>
            <w:vAlign w:val="center"/>
          </w:tcPr>
          <w:p w14:paraId="2CAD5743" w14:textId="77777777" w:rsidR="00B06B6F" w:rsidRPr="00FC7951" w:rsidRDefault="00B06B6F" w:rsidP="00725F19">
            <w:pPr>
              <w:jc w:val="center"/>
              <w:rPr>
                <w:bCs/>
                <w:color w:val="000000"/>
              </w:rPr>
            </w:pPr>
            <w:r w:rsidRPr="00FC7951">
              <w:rPr>
                <w:bCs/>
                <w:color w:val="000000"/>
              </w:rPr>
              <w:t>-</w:t>
            </w:r>
          </w:p>
        </w:tc>
        <w:tc>
          <w:tcPr>
            <w:tcW w:w="2977" w:type="dxa"/>
            <w:vAlign w:val="center"/>
          </w:tcPr>
          <w:p w14:paraId="10F96854" w14:textId="77777777" w:rsidR="00B06B6F" w:rsidRPr="00FC7951" w:rsidRDefault="00B06B6F" w:rsidP="00725F19">
            <w:pPr>
              <w:jc w:val="center"/>
              <w:rPr>
                <w:bCs/>
                <w:color w:val="000000"/>
              </w:rPr>
            </w:pPr>
            <w:r w:rsidRPr="00FC7951">
              <w:rPr>
                <w:bCs/>
                <w:color w:val="000000"/>
              </w:rPr>
              <w:t>0,53</w:t>
            </w:r>
          </w:p>
        </w:tc>
      </w:tr>
    </w:tbl>
    <w:p w14:paraId="440C3557"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Данные оценки получены путем калибровки модели, используемой для ЮЛ, не являющихся индивидуальными предпринимателями.</w:t>
      </w:r>
    </w:p>
    <w:p w14:paraId="236719A8"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Полученные оценки автоматически подтягиваются в строку «Сумма набранных баллов (фин. устойчивость)» вкладки «СВОД ФОРМА».</w:t>
      </w:r>
    </w:p>
    <w:p w14:paraId="45500DB5" w14:textId="77777777" w:rsidR="00B06B6F" w:rsidRPr="00FC7951" w:rsidRDefault="00B06B6F" w:rsidP="00725F19">
      <w:pPr>
        <w:ind w:firstLine="709"/>
        <w:jc w:val="both"/>
        <w:rPr>
          <w:rFonts w:ascii="Times New Roman" w:hAnsi="Times New Roman" w:cs="Times New Roman"/>
          <w:bCs/>
          <w:color w:val="000000"/>
        </w:rPr>
      </w:pPr>
    </w:p>
    <w:p w14:paraId="2B2AC421" w14:textId="77777777" w:rsidR="00B06B6F" w:rsidRPr="00FC7951" w:rsidRDefault="00B06B6F" w:rsidP="00725F19">
      <w:pPr>
        <w:pStyle w:val="ac"/>
        <w:numPr>
          <w:ilvl w:val="2"/>
          <w:numId w:val="16"/>
        </w:numPr>
        <w:ind w:left="0" w:firstLine="709"/>
        <w:jc w:val="both"/>
        <w:rPr>
          <w:bCs/>
        </w:rPr>
      </w:pPr>
      <w:r w:rsidRPr="00FC7951">
        <w:rPr>
          <w:bCs/>
        </w:rPr>
        <w:lastRenderedPageBreak/>
        <w:t>Раздел 8 Методики применяется, при этом из состава показателей исключаются (с пропорциональным перераспределением весов):</w:t>
      </w:r>
    </w:p>
    <w:p w14:paraId="22B2E4A1" w14:textId="77777777" w:rsidR="00B06B6F" w:rsidRPr="00FC7951" w:rsidRDefault="00B06B6F" w:rsidP="00725F19">
      <w:pPr>
        <w:pStyle w:val="ac"/>
        <w:numPr>
          <w:ilvl w:val="0"/>
          <w:numId w:val="40"/>
        </w:numPr>
        <w:ind w:left="1134" w:hanging="425"/>
        <w:jc w:val="both"/>
        <w:rPr>
          <w:bCs/>
        </w:rPr>
      </w:pPr>
      <w:r w:rsidRPr="00FC7951">
        <w:rPr>
          <w:bCs/>
        </w:rPr>
        <w:t>Сумма закупки / Активы;</w:t>
      </w:r>
    </w:p>
    <w:p w14:paraId="43F9C8A2" w14:textId="77777777" w:rsidR="00B06B6F" w:rsidRPr="00FC7951" w:rsidRDefault="00B06B6F" w:rsidP="00725F19">
      <w:pPr>
        <w:pStyle w:val="ac"/>
        <w:numPr>
          <w:ilvl w:val="0"/>
          <w:numId w:val="40"/>
        </w:numPr>
        <w:ind w:left="1134" w:hanging="425"/>
        <w:jc w:val="both"/>
        <w:rPr>
          <w:bCs/>
        </w:rPr>
      </w:pPr>
      <w:r w:rsidRPr="00FC7951">
        <w:rPr>
          <w:bCs/>
        </w:rPr>
        <w:t>Величина аванса / Активы.</w:t>
      </w:r>
    </w:p>
    <w:p w14:paraId="6092C804" w14:textId="77777777" w:rsidR="00B06B6F" w:rsidRPr="00FC7951" w:rsidRDefault="00B06B6F" w:rsidP="00725F19">
      <w:pPr>
        <w:pStyle w:val="ac"/>
        <w:numPr>
          <w:ilvl w:val="2"/>
          <w:numId w:val="16"/>
        </w:numPr>
        <w:ind w:left="0" w:firstLine="709"/>
        <w:jc w:val="both"/>
        <w:rPr>
          <w:bCs/>
        </w:rPr>
      </w:pPr>
      <w:r w:rsidRPr="00FC7951">
        <w:rPr>
          <w:bCs/>
        </w:rPr>
        <w:t>Раздел 9 Методики применяется без ограничений и исключений. При этом совокупная оценка по «</w:t>
      </w:r>
      <w:r w:rsidRPr="00FC7951">
        <w:rPr>
          <w:bCs/>
          <w:color w:val="000000"/>
        </w:rPr>
        <w:t xml:space="preserve">Группе финансовых показателей» в рамках </w:t>
      </w:r>
      <w:proofErr w:type="spellStart"/>
      <w:r w:rsidRPr="00FC7951">
        <w:rPr>
          <w:bCs/>
          <w:color w:val="000000"/>
        </w:rPr>
        <w:t>пп</w:t>
      </w:r>
      <w:proofErr w:type="spellEnd"/>
      <w:r w:rsidRPr="00FC7951">
        <w:rPr>
          <w:bCs/>
          <w:color w:val="000000"/>
        </w:rPr>
        <w:t xml:space="preserve">. 9.5. используется согласно </w:t>
      </w:r>
      <w:proofErr w:type="spellStart"/>
      <w:r w:rsidRPr="00FC7951">
        <w:rPr>
          <w:bCs/>
          <w:color w:val="000000"/>
        </w:rPr>
        <w:t>пп</w:t>
      </w:r>
      <w:proofErr w:type="spellEnd"/>
      <w:r w:rsidRPr="00FC7951">
        <w:rPr>
          <w:bCs/>
          <w:color w:val="000000"/>
        </w:rPr>
        <w:t xml:space="preserve">. 4.3.1. </w:t>
      </w:r>
      <w:r w:rsidRPr="00FC7951">
        <w:t xml:space="preserve">настоящего Приложения. С учетом </w:t>
      </w:r>
      <w:proofErr w:type="spellStart"/>
      <w:r w:rsidRPr="00FC7951">
        <w:t>пп</w:t>
      </w:r>
      <w:proofErr w:type="spellEnd"/>
      <w:r w:rsidRPr="00FC7951">
        <w:t>. 4.3.2.  таблица «Весовые коэффициенты» применяется в соответствии с нижеприведенной:</w:t>
      </w:r>
    </w:p>
    <w:p w14:paraId="7A102122" w14:textId="77777777" w:rsidR="00B06B6F" w:rsidRPr="00FC7951" w:rsidRDefault="00B06B6F" w:rsidP="00725F19">
      <w:pPr>
        <w:pStyle w:val="ac"/>
        <w:spacing w:before="120" w:after="120"/>
        <w:ind w:left="360"/>
        <w:jc w:val="right"/>
      </w:pPr>
      <w:r w:rsidRPr="00FC7951">
        <w:t>Таблица Весовые коэффициенты для индивидуальных предпринимателей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63"/>
        <w:gridCol w:w="2321"/>
        <w:gridCol w:w="992"/>
        <w:gridCol w:w="1276"/>
      </w:tblGrid>
      <w:tr w:rsidR="00B06B6F" w:rsidRPr="00FC7951" w14:paraId="638DDFF7" w14:textId="77777777" w:rsidTr="001746C7">
        <w:trPr>
          <w:trHeight w:val="2235"/>
        </w:trPr>
        <w:tc>
          <w:tcPr>
            <w:tcW w:w="1050" w:type="dxa"/>
            <w:shd w:val="clear" w:color="auto" w:fill="auto"/>
            <w:noWrap/>
            <w:vAlign w:val="bottom"/>
          </w:tcPr>
          <w:p w14:paraId="57D413D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noWrap/>
            <w:vAlign w:val="bottom"/>
          </w:tcPr>
          <w:p w14:paraId="7E099D3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656" w:type="dxa"/>
            <w:shd w:val="clear" w:color="auto" w:fill="auto"/>
            <w:textDirection w:val="btLr"/>
            <w:vAlign w:val="center"/>
          </w:tcPr>
          <w:p w14:paraId="51E1CB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группы</w:t>
            </w:r>
          </w:p>
        </w:tc>
        <w:tc>
          <w:tcPr>
            <w:tcW w:w="2321" w:type="dxa"/>
            <w:shd w:val="clear" w:color="auto" w:fill="auto"/>
            <w:noWrap/>
            <w:vAlign w:val="center"/>
          </w:tcPr>
          <w:p w14:paraId="5E5762D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Показатель</w:t>
            </w:r>
          </w:p>
        </w:tc>
        <w:tc>
          <w:tcPr>
            <w:tcW w:w="992" w:type="dxa"/>
            <w:shd w:val="clear" w:color="auto" w:fill="auto"/>
            <w:textDirection w:val="btLr"/>
            <w:vAlign w:val="center"/>
          </w:tcPr>
          <w:p w14:paraId="59786F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показателя внутри группы</w:t>
            </w:r>
          </w:p>
        </w:tc>
        <w:tc>
          <w:tcPr>
            <w:tcW w:w="1276" w:type="dxa"/>
            <w:shd w:val="clear" w:color="auto" w:fill="auto"/>
            <w:textDirection w:val="btLr"/>
            <w:vAlign w:val="center"/>
          </w:tcPr>
          <w:p w14:paraId="7C69026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Итоговый вес показателя с учетом веса группы показателей</w:t>
            </w:r>
          </w:p>
        </w:tc>
      </w:tr>
      <w:tr w:rsidR="00B06B6F" w:rsidRPr="00FC7951" w14:paraId="707D4C62" w14:textId="77777777" w:rsidTr="001746C7">
        <w:trPr>
          <w:trHeight w:val="1520"/>
        </w:trPr>
        <w:tc>
          <w:tcPr>
            <w:tcW w:w="1050" w:type="dxa"/>
            <w:shd w:val="clear" w:color="auto" w:fill="auto"/>
            <w:textDirection w:val="btLr"/>
            <w:vAlign w:val="center"/>
          </w:tcPr>
          <w:p w14:paraId="54D5E98F"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финансовых показателей</w:t>
            </w:r>
          </w:p>
        </w:tc>
        <w:tc>
          <w:tcPr>
            <w:tcW w:w="8306" w:type="dxa"/>
            <w:gridSpan w:val="5"/>
            <w:shd w:val="clear" w:color="auto" w:fill="auto"/>
            <w:vAlign w:val="center"/>
          </w:tcPr>
          <w:p w14:paraId="2D6E033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 соответствии с п. 4.3.1. настоящего Приложения</w:t>
            </w:r>
          </w:p>
        </w:tc>
      </w:tr>
      <w:tr w:rsidR="00B06B6F" w:rsidRPr="00FC7951" w14:paraId="7CB18503" w14:textId="77777777" w:rsidTr="001746C7">
        <w:trPr>
          <w:trHeight w:val="705"/>
        </w:trPr>
        <w:tc>
          <w:tcPr>
            <w:tcW w:w="1050" w:type="dxa"/>
            <w:vMerge w:val="restart"/>
            <w:shd w:val="clear" w:color="auto" w:fill="auto"/>
            <w:textDirection w:val="btLr"/>
            <w:vAlign w:val="center"/>
          </w:tcPr>
          <w:p w14:paraId="11E846C9"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показателей бизнес-риска</w:t>
            </w:r>
          </w:p>
        </w:tc>
        <w:tc>
          <w:tcPr>
            <w:tcW w:w="3061" w:type="dxa"/>
            <w:shd w:val="clear" w:color="auto" w:fill="auto"/>
          </w:tcPr>
          <w:p w14:paraId="16F0582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4 группа</w:t>
            </w:r>
            <w:r w:rsidRPr="00FC7951">
              <w:rPr>
                <w:rFonts w:ascii="Times New Roman" w:hAnsi="Times New Roman" w:cs="Times New Roman"/>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56" w:type="dxa"/>
            <w:shd w:val="clear" w:color="auto" w:fill="auto"/>
            <w:vAlign w:val="center"/>
          </w:tcPr>
          <w:p w14:paraId="1D7370F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0,38</w:t>
            </w:r>
          </w:p>
        </w:tc>
        <w:tc>
          <w:tcPr>
            <w:tcW w:w="2321" w:type="dxa"/>
            <w:shd w:val="clear" w:color="auto" w:fill="auto"/>
            <w:vAlign w:val="center"/>
          </w:tcPr>
          <w:p w14:paraId="70C0A909"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Выручка</w:t>
            </w:r>
          </w:p>
        </w:tc>
        <w:tc>
          <w:tcPr>
            <w:tcW w:w="992" w:type="dxa"/>
            <w:shd w:val="clear" w:color="auto" w:fill="auto"/>
            <w:noWrap/>
            <w:vAlign w:val="center"/>
          </w:tcPr>
          <w:p w14:paraId="2A21B628"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6A55E7F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0,38</w:t>
            </w:r>
          </w:p>
        </w:tc>
      </w:tr>
      <w:tr w:rsidR="00B06B6F" w:rsidRPr="00FC7951" w14:paraId="6F0231C8" w14:textId="77777777" w:rsidTr="001746C7">
        <w:trPr>
          <w:trHeight w:val="685"/>
        </w:trPr>
        <w:tc>
          <w:tcPr>
            <w:tcW w:w="1050" w:type="dxa"/>
            <w:vMerge/>
            <w:vAlign w:val="center"/>
          </w:tcPr>
          <w:p w14:paraId="4148B575"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1D661C9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5 группа</w:t>
            </w:r>
            <w:r w:rsidRPr="00FC7951">
              <w:rPr>
                <w:rFonts w:ascii="Times New Roman" w:hAnsi="Times New Roman" w:cs="Times New Roman"/>
                <w:color w:val="000000"/>
              </w:rPr>
              <w:t xml:space="preserve"> Срок существования участника</w:t>
            </w:r>
          </w:p>
        </w:tc>
        <w:tc>
          <w:tcPr>
            <w:tcW w:w="656" w:type="dxa"/>
            <w:shd w:val="clear" w:color="auto" w:fill="auto"/>
            <w:vAlign w:val="center"/>
          </w:tcPr>
          <w:p w14:paraId="7164044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0,18</w:t>
            </w:r>
          </w:p>
        </w:tc>
        <w:tc>
          <w:tcPr>
            <w:tcW w:w="2321" w:type="dxa"/>
            <w:shd w:val="clear" w:color="auto" w:fill="auto"/>
          </w:tcPr>
          <w:p w14:paraId="25050ACF" w14:textId="77777777" w:rsidR="00B06B6F" w:rsidRPr="00FC7951" w:rsidRDefault="00B06B6F" w:rsidP="00725F19">
            <w:pPr>
              <w:rPr>
                <w:rFonts w:ascii="Times New Roman" w:hAnsi="Times New Roman" w:cs="Times New Roman"/>
                <w:i/>
                <w:color w:val="000000"/>
              </w:rPr>
            </w:pPr>
          </w:p>
        </w:tc>
        <w:tc>
          <w:tcPr>
            <w:tcW w:w="992" w:type="dxa"/>
            <w:shd w:val="clear" w:color="auto" w:fill="auto"/>
            <w:noWrap/>
            <w:vAlign w:val="center"/>
          </w:tcPr>
          <w:p w14:paraId="4D7C7A2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3B66BA3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0,18</w:t>
            </w:r>
          </w:p>
        </w:tc>
      </w:tr>
      <w:tr w:rsidR="00B06B6F" w:rsidRPr="00FC7951" w14:paraId="1A77CAD3" w14:textId="77777777" w:rsidTr="001746C7">
        <w:trPr>
          <w:trHeight w:val="900"/>
        </w:trPr>
        <w:tc>
          <w:tcPr>
            <w:tcW w:w="1050" w:type="dxa"/>
            <w:vMerge/>
            <w:vAlign w:val="center"/>
          </w:tcPr>
          <w:p w14:paraId="423CBE24"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2F5747E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6 группа</w:t>
            </w:r>
            <w:r w:rsidRPr="00FC7951">
              <w:rPr>
                <w:rFonts w:ascii="Times New Roman" w:hAnsi="Times New Roman" w:cs="Times New Roman"/>
                <w:color w:val="000000"/>
              </w:rPr>
              <w:t xml:space="preserve"> Финансовые условия сделки</w:t>
            </w:r>
            <w:r w:rsidRPr="00FC7951">
              <w:rPr>
                <w:rFonts w:ascii="Times New Roman" w:hAnsi="Times New Roman" w:cs="Times New Roman"/>
                <w:color w:val="000000"/>
              </w:rPr>
              <w:br/>
              <w:t>- авансовые платежи есть/нет</w:t>
            </w:r>
            <w:r w:rsidRPr="00FC7951">
              <w:rPr>
                <w:rFonts w:ascii="Times New Roman" w:hAnsi="Times New Roman" w:cs="Times New Roman"/>
                <w:color w:val="000000"/>
              </w:rPr>
              <w:br/>
              <w:t>- обеспечение (</w:t>
            </w:r>
            <w:r w:rsidRPr="00FC7951">
              <w:rPr>
                <w:rFonts w:ascii="Times New Roman" w:hAnsi="Times New Roman" w:cs="Times New Roman"/>
              </w:rPr>
              <w:t>независим</w:t>
            </w:r>
            <w:r w:rsidRPr="00FC7951">
              <w:rPr>
                <w:rFonts w:ascii="Times New Roman" w:hAnsi="Times New Roman" w:cs="Times New Roman"/>
                <w:color w:val="000000"/>
              </w:rPr>
              <w:t>ая гарантия)</w:t>
            </w:r>
          </w:p>
        </w:tc>
        <w:tc>
          <w:tcPr>
            <w:tcW w:w="656" w:type="dxa"/>
            <w:shd w:val="clear" w:color="auto" w:fill="auto"/>
            <w:vAlign w:val="center"/>
          </w:tcPr>
          <w:p w14:paraId="426EB7D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0,23</w:t>
            </w:r>
          </w:p>
        </w:tc>
        <w:tc>
          <w:tcPr>
            <w:tcW w:w="2321" w:type="dxa"/>
            <w:shd w:val="clear" w:color="auto" w:fill="auto"/>
          </w:tcPr>
          <w:p w14:paraId="2C90B40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992" w:type="dxa"/>
            <w:shd w:val="clear" w:color="auto" w:fill="auto"/>
            <w:noWrap/>
            <w:vAlign w:val="center"/>
          </w:tcPr>
          <w:p w14:paraId="4656B44D"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074FC651"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0,23</w:t>
            </w:r>
          </w:p>
        </w:tc>
      </w:tr>
      <w:tr w:rsidR="00B06B6F" w:rsidRPr="00FC7951" w14:paraId="171189B6" w14:textId="77777777" w:rsidTr="001746C7">
        <w:trPr>
          <w:trHeight w:val="300"/>
        </w:trPr>
        <w:tc>
          <w:tcPr>
            <w:tcW w:w="1050" w:type="dxa"/>
            <w:shd w:val="clear" w:color="auto" w:fill="auto"/>
            <w:textDirection w:val="btLr"/>
            <w:vAlign w:val="bottom"/>
          </w:tcPr>
          <w:p w14:paraId="00ACB96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tcPr>
          <w:p w14:paraId="7D505E9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Константа*</w:t>
            </w:r>
          </w:p>
        </w:tc>
        <w:tc>
          <w:tcPr>
            <w:tcW w:w="656" w:type="dxa"/>
            <w:shd w:val="clear" w:color="auto" w:fill="auto"/>
            <w:vAlign w:val="center"/>
          </w:tcPr>
          <w:p w14:paraId="0F4A4C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-0,37</w:t>
            </w:r>
          </w:p>
        </w:tc>
        <w:tc>
          <w:tcPr>
            <w:tcW w:w="2321" w:type="dxa"/>
            <w:shd w:val="clear" w:color="auto" w:fill="auto"/>
          </w:tcPr>
          <w:p w14:paraId="3057820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992" w:type="dxa"/>
            <w:shd w:val="clear" w:color="auto" w:fill="auto"/>
            <w:noWrap/>
            <w:vAlign w:val="bottom"/>
          </w:tcPr>
          <w:p w14:paraId="2825146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1276" w:type="dxa"/>
            <w:shd w:val="clear" w:color="auto" w:fill="auto"/>
            <w:noWrap/>
            <w:vAlign w:val="bottom"/>
          </w:tcPr>
          <w:p w14:paraId="318D5C0F"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-0,37</w:t>
            </w:r>
          </w:p>
        </w:tc>
      </w:tr>
    </w:tbl>
    <w:p w14:paraId="16DCD1ED" w14:textId="77777777" w:rsidR="00B06B6F" w:rsidRPr="00FC7951" w:rsidRDefault="00B06B6F" w:rsidP="00725F19">
      <w:pPr>
        <w:pStyle w:val="ac"/>
        <w:ind w:left="709"/>
        <w:jc w:val="both"/>
        <w:rPr>
          <w:bCs/>
        </w:rPr>
      </w:pPr>
    </w:p>
    <w:p w14:paraId="306E3D87" w14:textId="77777777" w:rsidR="00B06B6F" w:rsidRPr="00FC7951" w:rsidRDefault="00B06B6F" w:rsidP="00725F19">
      <w:pPr>
        <w:pStyle w:val="ac"/>
        <w:numPr>
          <w:ilvl w:val="2"/>
          <w:numId w:val="16"/>
        </w:numPr>
        <w:ind w:left="0" w:firstLine="709"/>
        <w:jc w:val="both"/>
        <w:rPr>
          <w:bCs/>
        </w:rPr>
      </w:pPr>
      <w:r w:rsidRPr="00FC7951">
        <w:t>Раздел 10 Методики применяется с учетом следующего состава стоп и риск-факторов (с учетом применимости в отношении индивидуальных предпринимателей):</w:t>
      </w:r>
    </w:p>
    <w:p w14:paraId="103B2203" w14:textId="77777777" w:rsidR="00B06B6F" w:rsidRPr="00FC7951" w:rsidRDefault="00B06B6F" w:rsidP="00725F19">
      <w:pPr>
        <w:pStyle w:val="ac"/>
        <w:ind w:left="709"/>
        <w:jc w:val="both"/>
        <w:rPr>
          <w:b/>
        </w:rPr>
      </w:pPr>
      <w:r w:rsidRPr="00FC7951">
        <w:rPr>
          <w:b/>
        </w:rPr>
        <w:t>Стоп-фактор:</w:t>
      </w:r>
    </w:p>
    <w:p w14:paraId="479488E2"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отрицательное значение величины чистых активов, рассчитанной в соответствии с </w:t>
      </w:r>
      <w:proofErr w:type="spellStart"/>
      <w:r w:rsidRPr="00FC7951">
        <w:rPr>
          <w:rFonts w:ascii="Times New Roman" w:hAnsi="Times New Roman" w:cs="Times New Roman"/>
        </w:rPr>
        <w:t>пп</w:t>
      </w:r>
      <w:proofErr w:type="spellEnd"/>
      <w:r w:rsidRPr="00FC7951">
        <w:rPr>
          <w:rFonts w:ascii="Times New Roman" w:hAnsi="Times New Roman" w:cs="Times New Roman"/>
        </w:rPr>
        <w:t>. 4.3.1. настоящего Приложения (или значение коэффициента «Финансовая устойчивость индивидуального предпринимателя» менее 1).</w:t>
      </w:r>
    </w:p>
    <w:p w14:paraId="28541DFF"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lastRenderedPageBreak/>
        <w:t>существенное несоответствие масштабов деятельности участника закупочной процедуры сумме закупки (если стоимость предложения, указанная в оферте, в годовом выражении с учетом п. 8.1. более чем в 1,4 раза превышает взвешенную с учетом п. 9.1. годовую выручку участника);</w:t>
      </w:r>
    </w:p>
    <w:p w14:paraId="3E0F7596"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стоимости планируемой закупки.</w:t>
      </w:r>
    </w:p>
    <w:p w14:paraId="721ECCF0" w14:textId="77777777" w:rsidR="00B06B6F" w:rsidRPr="00FC7951" w:rsidRDefault="00B06B6F" w:rsidP="00725F19">
      <w:pPr>
        <w:ind w:firstLine="709"/>
        <w:jc w:val="both"/>
        <w:rPr>
          <w:rFonts w:ascii="Times New Roman" w:hAnsi="Times New Roman" w:cs="Times New Roman"/>
          <w:b/>
        </w:rPr>
      </w:pPr>
      <w:r w:rsidRPr="00FC7951">
        <w:rPr>
          <w:rFonts w:ascii="Times New Roman" w:hAnsi="Times New Roman" w:cs="Times New Roman"/>
          <w:b/>
        </w:rPr>
        <w:t>Риск-фактор:</w:t>
      </w:r>
    </w:p>
    <w:p w14:paraId="22A8FE0A"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наличие просроченной задолженности по выписке из БКИ (по аналогии с непокрытым убытком в бухгалтерском балансе на последнюю отчетную дату (в том числе незавершенного финансового года));</w:t>
      </w:r>
    </w:p>
    <w:p w14:paraId="48267A02"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срок существования </w:t>
      </w:r>
      <w:r w:rsidRPr="00FC7951">
        <w:rPr>
          <w:rFonts w:ascii="Times New Roman" w:hAnsi="Times New Roman" w:cs="Times New Roman"/>
          <w:color w:val="000000"/>
        </w:rPr>
        <w:t>участника</w:t>
      </w:r>
      <w:r w:rsidRPr="00FC7951">
        <w:rPr>
          <w:rFonts w:ascii="Times New Roman" w:hAnsi="Times New Roman" w:cs="Times New Roman"/>
        </w:rPr>
        <w:t xml:space="preserve"> менее года;</w:t>
      </w:r>
    </w:p>
    <w:p w14:paraId="0723774C"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сделка является достаточно крупной для участника закупочной процедуры (если стоимость предложения, указанная в оферте, в годовом выражении с учетом п. 8.1. превышает 80% взвешенной с учетом п. 9.1. годовой выручки </w:t>
      </w:r>
      <w:r w:rsidRPr="00FC7951">
        <w:rPr>
          <w:rFonts w:ascii="Times New Roman" w:hAnsi="Times New Roman" w:cs="Times New Roman"/>
          <w:color w:val="000000"/>
        </w:rPr>
        <w:t>участника</w:t>
      </w:r>
      <w:r w:rsidRPr="00FC7951">
        <w:rPr>
          <w:rFonts w:ascii="Times New Roman" w:hAnsi="Times New Roman" w:cs="Times New Roman"/>
        </w:rPr>
        <w:t>);</w:t>
      </w:r>
    </w:p>
    <w:p w14:paraId="76A4468B"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если договором предусматривается выплата аванса без покрытия независимой гарантией.</w:t>
      </w:r>
      <w:r w:rsidRPr="00FC7951">
        <w:rPr>
          <w:rFonts w:ascii="Times New Roman" w:hAnsi="Times New Roman" w:cs="Times New Roman"/>
          <w:i/>
        </w:rPr>
        <w:t xml:space="preserve"> </w:t>
      </w:r>
    </w:p>
    <w:p w14:paraId="17333B95" w14:textId="77777777" w:rsidR="00B06B6F" w:rsidRPr="00FC7951" w:rsidRDefault="00B06B6F" w:rsidP="00725F19">
      <w:pPr>
        <w:pStyle w:val="ac"/>
        <w:numPr>
          <w:ilvl w:val="2"/>
          <w:numId w:val="16"/>
        </w:numPr>
        <w:ind w:left="0" w:firstLine="709"/>
        <w:jc w:val="both"/>
        <w:rPr>
          <w:bCs/>
        </w:rPr>
      </w:pPr>
      <w:r w:rsidRPr="00FC7951">
        <w:rPr>
          <w:bCs/>
        </w:rPr>
        <w:t>Раздел 11 Методики применяется без ограничений и исключений.</w:t>
      </w:r>
    </w:p>
    <w:p w14:paraId="23818AF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Решение о прохождении участника, применяющего УСН (в условиях отсутствия бухгалтерской отчетности) или индивидуального предпринимателя (в условиях отсутствия данных </w:t>
      </w:r>
      <w:r w:rsidRPr="00FC7951">
        <w:rPr>
          <w:rFonts w:ascii="Times New Roman" w:hAnsi="Times New Roman" w:cs="Times New Roman"/>
        </w:rPr>
        <w:t>налоговых деклараций и выписки из БКИ)</w:t>
      </w:r>
      <w:r w:rsidRPr="00FC7951">
        <w:rPr>
          <w:rFonts w:ascii="Times New Roman" w:hAnsi="Times New Roman" w:cs="Times New Roman"/>
          <w:bCs/>
        </w:rPr>
        <w:t>, отборочной стадии может быть принято только при одновременном выполнении следующих критериев:</w:t>
      </w:r>
    </w:p>
    <w:p w14:paraId="3BBDC6CE"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срок существования не менее 3 лет;</w:t>
      </w:r>
    </w:p>
    <w:p w14:paraId="7A809DD5"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вид деятельности участника закупочной процедуры по классификации ОКВЭД совпадает с предметом закупки;</w:t>
      </w:r>
    </w:p>
    <w:p w14:paraId="3333DBC8"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участник имеет необходимые материально-технические и кадровые ресурсы (согласно предоставленным справкам);</w:t>
      </w:r>
    </w:p>
    <w:p w14:paraId="6783549B"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стоимость планируемой закупки без НДС не превышает 120% годового дохода согласно налоговой декларации / 140% годового дохода </w:t>
      </w:r>
      <w:r w:rsidRPr="00FC7951">
        <w:rPr>
          <w:rFonts w:ascii="Times New Roman" w:hAnsi="Times New Roman" w:cs="Times New Roman"/>
        </w:rPr>
        <w:t>для закупок</w:t>
      </w:r>
      <w:r w:rsidRPr="00FC7951">
        <w:rPr>
          <w:rFonts w:ascii="Times New Roman" w:hAnsi="Times New Roman" w:cs="Times New Roman"/>
          <w:bCs/>
        </w:rPr>
        <w:t>, (</w:t>
      </w:r>
      <w:r w:rsidRPr="00FC7951">
        <w:rPr>
          <w:rFonts w:ascii="Times New Roman" w:hAnsi="Times New Roman" w:cs="Times New Roman"/>
        </w:rPr>
        <w:t>в случае если предоставление документа не противоречит действующему Законодательству</w:t>
      </w:r>
      <w:r w:rsidRPr="00FC7951">
        <w:rPr>
          <w:rFonts w:ascii="Times New Roman" w:hAnsi="Times New Roman" w:cs="Times New Roman"/>
          <w:bCs/>
        </w:rPr>
        <w:t>);</w:t>
      </w:r>
    </w:p>
    <w:p w14:paraId="3451AD0E" w14:textId="77777777" w:rsidR="00391929" w:rsidRPr="00391929"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391929">
        <w:rPr>
          <w:rFonts w:ascii="Times New Roman" w:hAnsi="Times New Roman" w:cs="Times New Roman"/>
          <w:bCs/>
        </w:rPr>
        <w:t xml:space="preserve">отсутствует </w:t>
      </w:r>
      <w:r w:rsidRPr="00391929">
        <w:rPr>
          <w:rFonts w:ascii="Times New Roman" w:hAnsi="Times New Roman" w:cs="Times New Roman"/>
        </w:rPr>
        <w:t xml:space="preserve">задолженность по начисленным налогам, сборам и иным обязательным платежам / присутствует подписанная участником на ЭТП декларации об отсутствии задолженности в размере более </w:t>
      </w:r>
      <w:r w:rsidR="00391929">
        <w:rPr>
          <w:rFonts w:ascii="Times New Roman" w:hAnsi="Times New Roman" w:cs="Times New Roman"/>
        </w:rPr>
        <w:t>25% валюты баланса для закупок</w:t>
      </w:r>
    </w:p>
    <w:p w14:paraId="3C68B765" w14:textId="77777777" w:rsidR="00B06B6F" w:rsidRPr="00391929"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391929">
        <w:rPr>
          <w:rFonts w:ascii="Times New Roman" w:hAnsi="Times New Roman" w:cs="Times New Roman"/>
          <w:bCs/>
        </w:rPr>
        <w:t xml:space="preserve">финансовые условия сделки не предусматривают выплату аванса, не покрытого </w:t>
      </w:r>
      <w:r w:rsidRPr="00391929">
        <w:rPr>
          <w:rFonts w:ascii="Times New Roman" w:hAnsi="Times New Roman" w:cs="Times New Roman"/>
        </w:rPr>
        <w:t>независимой</w:t>
      </w:r>
      <w:r w:rsidRPr="00391929">
        <w:rPr>
          <w:rFonts w:ascii="Times New Roman" w:hAnsi="Times New Roman" w:cs="Times New Roman"/>
          <w:bCs/>
        </w:rPr>
        <w:t xml:space="preserve"> гарантией.</w:t>
      </w:r>
    </w:p>
    <w:p w14:paraId="18507835"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bCs/>
        </w:rPr>
        <w:t xml:space="preserve">За исключением случаев, описанных ниже в п. 4.6. </w:t>
      </w:r>
      <w:r w:rsidRPr="00FC7951">
        <w:rPr>
          <w:rFonts w:ascii="Times New Roman" w:hAnsi="Times New Roman" w:cs="Times New Roman"/>
        </w:rPr>
        <w:t>настоящего Приложения</w:t>
      </w:r>
      <w:r w:rsidRPr="00FC7951">
        <w:rPr>
          <w:rFonts w:ascii="Times New Roman" w:hAnsi="Times New Roman" w:cs="Times New Roman"/>
          <w:bCs/>
        </w:rPr>
        <w:t xml:space="preserve">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62204CEA"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 целью расширения доступа участников, применяющих упрощенную систему налогообложения (УСН) и индивидуальных предпринимателей к участию в закупочных процедурах, организованных Обществом, в случаях, когда не выполнен только критерий соответствия масштабов деятельности участника стоимости планируемой закупки или его расчет невозможен в связи с ограничениями действующего Законодательства по предоставлению участниками документов, и при этом все остальные критерии выполнены, включая отсутствие аванса без покрытия независимой гарантией, разрешается для ограниченного перечня закупочных процедур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закупочных процедур, для которых применимы положения настоящего пункта ограничивается </w:t>
      </w:r>
      <w:r w:rsidRPr="00FC7951">
        <w:rPr>
          <w:rFonts w:ascii="Times New Roman" w:hAnsi="Times New Roman" w:cs="Times New Roman"/>
        </w:rPr>
        <w:lastRenderedPageBreak/>
        <w:t>закупочными процедурами по перечисленным ниже статьям расходов Общества, плановая стоимость закупки по которым не превышает 30 млн. рублей без НДС:</w:t>
      </w:r>
    </w:p>
    <w:p w14:paraId="0C3387AD"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административно-хозяйственные расходы (поставки и услуги);</w:t>
      </w:r>
    </w:p>
    <w:p w14:paraId="2FE8A315"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охрана (услуги);</w:t>
      </w:r>
    </w:p>
    <w:p w14:paraId="0AC52F0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консультационные и информационные расходы (поставки и услуги);</w:t>
      </w:r>
    </w:p>
    <w:p w14:paraId="49AAD812"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аудит и оценка (поставки и услуги);</w:t>
      </w:r>
    </w:p>
    <w:p w14:paraId="3A2FF5EB"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юридические услуги (поставки и услуги);</w:t>
      </w:r>
    </w:p>
    <w:p w14:paraId="5CFA07D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корпоративное управление (поставки и услуги);</w:t>
      </w:r>
    </w:p>
    <w:p w14:paraId="7F0CC522"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расходы на персонал (поставки и услуги);</w:t>
      </w:r>
    </w:p>
    <w:p w14:paraId="27F3A25D"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реклама и маркетинг (поставки и услуги).</w:t>
      </w:r>
    </w:p>
    <w:p w14:paraId="48A88ABF"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При отсутствии данных бухгалтерской отчетности </w:t>
      </w:r>
      <w:r w:rsidRPr="00FC7951">
        <w:rPr>
          <w:rFonts w:ascii="Times New Roman" w:hAnsi="Times New Roman" w:cs="Times New Roman"/>
        </w:rPr>
        <w:t xml:space="preserve">(в случае если предоставление документа не противоречит действующему Законодательству) </w:t>
      </w:r>
      <w:r w:rsidRPr="00FC7951">
        <w:rPr>
          <w:rFonts w:ascii="Times New Roman" w:hAnsi="Times New Roman" w:cs="Times New Roman"/>
          <w:bCs/>
        </w:rPr>
        <w:t xml:space="preserve">в рамках проведения финансово-экономической экспертизы на оценочной стадии, участнику, применяющему УСН, или индивидуальному предпринимателю (при отсутствии любого из следующих документов: </w:t>
      </w:r>
      <w:r w:rsidRPr="00FC7951">
        <w:rPr>
          <w:rFonts w:ascii="Times New Roman" w:hAnsi="Times New Roman" w:cs="Times New Roman"/>
        </w:rPr>
        <w:t>налоговых деклараций, выписки из БКИ</w:t>
      </w:r>
      <w:r w:rsidRPr="00FC7951">
        <w:rPr>
          <w:rFonts w:ascii="Times New Roman" w:hAnsi="Times New Roman" w:cs="Times New Roman"/>
          <w:bCs/>
        </w:rPr>
        <w:t>) не может быть присвоена оценка выше 1 (минимально допустимый уровень).</w:t>
      </w:r>
    </w:p>
    <w:p w14:paraId="04DFADBD" w14:textId="77777777" w:rsidR="00B06B6F" w:rsidRPr="00FC7951" w:rsidRDefault="00B06B6F" w:rsidP="00725F19">
      <w:pPr>
        <w:spacing w:after="200" w:line="276" w:lineRule="auto"/>
        <w:rPr>
          <w:rFonts w:ascii="Times New Roman" w:hAnsi="Times New Roman" w:cs="Times New Roman"/>
          <w:bCs/>
        </w:rPr>
      </w:pPr>
      <w:r w:rsidRPr="00FC7951">
        <w:rPr>
          <w:rFonts w:ascii="Times New Roman" w:hAnsi="Times New Roman" w:cs="Times New Roman"/>
          <w:bCs/>
        </w:rPr>
        <w:br w:type="page"/>
      </w:r>
    </w:p>
    <w:p w14:paraId="1418D1CD" w14:textId="77777777" w:rsidR="00B06B6F" w:rsidRPr="00FC7951" w:rsidRDefault="00B06B6F" w:rsidP="007A07DF">
      <w:pPr>
        <w:spacing w:after="0"/>
        <w:jc w:val="right"/>
        <w:rPr>
          <w:rStyle w:val="af2"/>
          <w:rFonts w:ascii="Times New Roman" w:hAnsi="Times New Roman" w:cs="Times New Roman"/>
          <w:bCs/>
          <w:i w:val="0"/>
          <w:iCs w:val="0"/>
        </w:rPr>
      </w:pPr>
      <w:bookmarkStart w:id="47" w:name="_Toc69741728"/>
      <w:bookmarkStart w:id="48" w:name="_Toc69744033"/>
      <w:bookmarkStart w:id="49" w:name="_Toc69741729"/>
      <w:bookmarkStart w:id="50" w:name="_Toc69744034"/>
      <w:bookmarkStart w:id="51" w:name="_Toc69741730"/>
      <w:bookmarkStart w:id="52" w:name="_Toc69744035"/>
      <w:bookmarkStart w:id="53" w:name="_Toc322961191"/>
      <w:bookmarkStart w:id="54" w:name="_Toc326066026"/>
      <w:bookmarkStart w:id="55" w:name="_Toc326066296"/>
      <w:bookmarkEnd w:id="47"/>
      <w:bookmarkEnd w:id="48"/>
      <w:bookmarkEnd w:id="49"/>
      <w:bookmarkEnd w:id="50"/>
      <w:bookmarkEnd w:id="51"/>
      <w:bookmarkEnd w:id="52"/>
      <w:r w:rsidRPr="00FC7951">
        <w:rPr>
          <w:rStyle w:val="af2"/>
          <w:rFonts w:ascii="Times New Roman" w:hAnsi="Times New Roman" w:cs="Times New Roman"/>
          <w:bCs/>
          <w:i w:val="0"/>
          <w:iCs w:val="0"/>
        </w:rPr>
        <w:lastRenderedPageBreak/>
        <w:t xml:space="preserve">Приложение 3 </w:t>
      </w:r>
    </w:p>
    <w:p w14:paraId="17356A69" w14:textId="77777777" w:rsidR="00B06B6F" w:rsidRPr="00FC7951" w:rsidRDefault="00B06B6F" w:rsidP="007A07DF">
      <w:pPr>
        <w:spacing w:after="0"/>
        <w:jc w:val="right"/>
        <w:rPr>
          <w:rFonts w:ascii="Times New Roman" w:hAnsi="Times New Roman" w:cs="Times New Roman"/>
          <w:bCs/>
        </w:rPr>
      </w:pPr>
      <w:r w:rsidRPr="00FC7951">
        <w:rPr>
          <w:rStyle w:val="af2"/>
          <w:rFonts w:ascii="Times New Roman" w:hAnsi="Times New Roman" w:cs="Times New Roman"/>
          <w:bCs/>
          <w:i w:val="0"/>
          <w:iCs w:val="0"/>
        </w:rPr>
        <w:t>к Методике МТ-065-4</w:t>
      </w:r>
    </w:p>
    <w:p w14:paraId="773FF5D0" w14:textId="77777777" w:rsidR="00B06B6F" w:rsidRPr="00FC7951" w:rsidRDefault="00B06B6F" w:rsidP="00725F19">
      <w:pPr>
        <w:jc w:val="both"/>
        <w:rPr>
          <w:rFonts w:ascii="Times New Roman" w:hAnsi="Times New Roman" w:cs="Times New Roman"/>
        </w:rPr>
      </w:pPr>
      <w:bookmarkStart w:id="56" w:name="_Toc322961199"/>
      <w:bookmarkStart w:id="57" w:name="_Toc326066034"/>
      <w:bookmarkStart w:id="58" w:name="_Toc326066304"/>
      <w:bookmarkStart w:id="59" w:name="_Toc326067326"/>
      <w:bookmarkStart w:id="60" w:name="_Toc516132536"/>
      <w:bookmarkStart w:id="61" w:name="_Toc107247786"/>
      <w:bookmarkEnd w:id="53"/>
      <w:bookmarkEnd w:id="54"/>
      <w:bookmarkEnd w:id="55"/>
      <w:r w:rsidRPr="00FC7951">
        <w:rPr>
          <w:rStyle w:val="10"/>
          <w:rFonts w:eastAsiaTheme="minorHAnsi"/>
        </w:rPr>
        <w:t>Приложение 3 Ф</w:t>
      </w:r>
      <w:bookmarkEnd w:id="56"/>
      <w:r w:rsidRPr="00FC7951">
        <w:rPr>
          <w:rStyle w:val="10"/>
          <w:rFonts w:eastAsiaTheme="minorHAnsi"/>
        </w:rPr>
        <w:t>ормат заключения</w:t>
      </w:r>
      <w:bookmarkEnd w:id="57"/>
      <w:bookmarkEnd w:id="58"/>
      <w:bookmarkEnd w:id="59"/>
      <w:r w:rsidRPr="00FC7951">
        <w:rPr>
          <w:rStyle w:val="10"/>
          <w:rFonts w:eastAsiaTheme="minorHAnsi"/>
        </w:rPr>
        <w:t xml:space="preserve"> по направлению финансово-экономической экспертизы с использованием шаблона «Финэкспертиза.</w:t>
      </w:r>
      <w:proofErr w:type="spellStart"/>
      <w:r w:rsidRPr="00FC7951">
        <w:rPr>
          <w:rStyle w:val="10"/>
          <w:rFonts w:eastAsiaTheme="minorHAnsi"/>
          <w:lang w:val="en-US"/>
        </w:rPr>
        <w:t>xls</w:t>
      </w:r>
      <w:proofErr w:type="spellEnd"/>
      <w:r w:rsidRPr="00FC7951">
        <w:rPr>
          <w:rStyle w:val="10"/>
          <w:rFonts w:eastAsiaTheme="minorHAnsi"/>
        </w:rPr>
        <w:t>»</w:t>
      </w:r>
      <w:bookmarkEnd w:id="60"/>
      <w:bookmarkEnd w:id="61"/>
      <w:r w:rsidRPr="00FC7951">
        <w:rPr>
          <w:rStyle w:val="af2"/>
          <w:rFonts w:ascii="Times New Roman" w:hAnsi="Times New Roman" w:cs="Times New Roman"/>
          <w:i w:val="0"/>
          <w:iCs w:val="0"/>
        </w:rPr>
        <w:t xml:space="preserve"> </w:t>
      </w:r>
    </w:p>
    <w:p w14:paraId="6BC62B30" w14:textId="77777777" w:rsidR="00B06B6F" w:rsidRPr="00FC7951" w:rsidRDefault="00B06B6F" w:rsidP="00725F19">
      <w:pPr>
        <w:rPr>
          <w:rStyle w:val="af2"/>
          <w:rFonts w:ascii="Times New Roman" w:hAnsi="Times New Roman" w:cs="Times New Roman"/>
        </w:rPr>
      </w:pPr>
      <w:bookmarkStart w:id="62" w:name="_Toc106268975"/>
      <w:bookmarkStart w:id="63" w:name="_Toc106269069"/>
      <w:bookmarkStart w:id="64" w:name="_Toc107247787"/>
      <w:r w:rsidRPr="00FC7951">
        <w:rPr>
          <w:rStyle w:val="10"/>
          <w:rFonts w:eastAsiaTheme="minorHAnsi"/>
          <w:b w:val="0"/>
          <w:noProof/>
        </w:rPr>
        <w:drawing>
          <wp:inline distT="0" distB="0" distL="0" distR="0" wp14:anchorId="36394FC5" wp14:editId="4FB61A59">
            <wp:extent cx="5976857" cy="7632175"/>
            <wp:effectExtent l="0" t="0" r="508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90438" cy="7649517"/>
                    </a:xfrm>
                    <a:prstGeom prst="rect">
                      <a:avLst/>
                    </a:prstGeom>
                    <a:noFill/>
                    <a:ln>
                      <a:noFill/>
                    </a:ln>
                  </pic:spPr>
                </pic:pic>
              </a:graphicData>
            </a:graphic>
          </wp:inline>
        </w:drawing>
      </w:r>
      <w:bookmarkEnd w:id="62"/>
      <w:bookmarkEnd w:id="63"/>
      <w:bookmarkEnd w:id="64"/>
    </w:p>
    <w:p w14:paraId="2C73CFBE" w14:textId="77777777" w:rsidR="00B06B6F" w:rsidRPr="00FC7951" w:rsidRDefault="00B06B6F" w:rsidP="00725F19">
      <w:pPr>
        <w:tabs>
          <w:tab w:val="left" w:pos="8789"/>
        </w:tabs>
        <w:rPr>
          <w:rStyle w:val="af2"/>
          <w:rFonts w:ascii="Times New Roman" w:hAnsi="Times New Roman" w:cs="Times New Roman"/>
        </w:rPr>
      </w:pPr>
      <w:r w:rsidRPr="00FC7951">
        <w:rPr>
          <w:rStyle w:val="af2"/>
          <w:rFonts w:ascii="Times New Roman" w:hAnsi="Times New Roman" w:cs="Times New Roman"/>
          <w:noProof/>
          <w:lang w:eastAsia="ru-RU"/>
        </w:rPr>
        <w:lastRenderedPageBreak/>
        <w:drawing>
          <wp:inline distT="0" distB="0" distL="0" distR="0" wp14:anchorId="181DA3BF" wp14:editId="441FA0F1">
            <wp:extent cx="5939625" cy="6233566"/>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5335" cy="6250054"/>
                    </a:xfrm>
                    <a:prstGeom prst="rect">
                      <a:avLst/>
                    </a:prstGeom>
                    <a:noFill/>
                    <a:ln>
                      <a:noFill/>
                    </a:ln>
                  </pic:spPr>
                </pic:pic>
              </a:graphicData>
            </a:graphic>
          </wp:inline>
        </w:drawing>
      </w:r>
      <w:r w:rsidRPr="00FC7951" w:rsidDel="00C52066">
        <w:rPr>
          <w:rStyle w:val="af2"/>
          <w:rFonts w:ascii="Times New Roman" w:hAnsi="Times New Roman" w:cs="Times New Roman"/>
        </w:rPr>
        <w:t xml:space="preserve"> </w:t>
      </w:r>
    </w:p>
    <w:p w14:paraId="71F576E0" w14:textId="77777777" w:rsidR="00B06B6F" w:rsidRPr="00FC7951" w:rsidRDefault="00B06B6F" w:rsidP="00725F19">
      <w:pPr>
        <w:rPr>
          <w:rStyle w:val="af2"/>
          <w:rFonts w:ascii="Times New Roman" w:hAnsi="Times New Roman" w:cs="Times New Roman"/>
        </w:rPr>
      </w:pPr>
    </w:p>
    <w:p w14:paraId="70DE5AD2" w14:textId="77777777" w:rsidR="00B06B6F" w:rsidRPr="00FC7951" w:rsidRDefault="00B06B6F" w:rsidP="00725F19">
      <w:pPr>
        <w:rPr>
          <w:rStyle w:val="af2"/>
          <w:rFonts w:ascii="Times New Roman" w:hAnsi="Times New Roman" w:cs="Times New Roman"/>
        </w:rPr>
      </w:pPr>
    </w:p>
    <w:p w14:paraId="1D4F166A" w14:textId="77777777" w:rsidR="00B06B6F" w:rsidRPr="00FC7951" w:rsidRDefault="00B06B6F" w:rsidP="00725F19">
      <w:pPr>
        <w:spacing w:after="200" w:line="276" w:lineRule="auto"/>
        <w:rPr>
          <w:rStyle w:val="af2"/>
          <w:rFonts w:ascii="Times New Roman" w:hAnsi="Times New Roman" w:cs="Times New Roman"/>
        </w:rPr>
      </w:pPr>
      <w:r w:rsidRPr="00FC7951">
        <w:rPr>
          <w:rStyle w:val="af2"/>
          <w:rFonts w:ascii="Times New Roman" w:hAnsi="Times New Roman" w:cs="Times New Roman"/>
        </w:rPr>
        <w:br w:type="page"/>
      </w:r>
    </w:p>
    <w:p w14:paraId="7E1B982D" w14:textId="77777777" w:rsidR="00B06B6F" w:rsidRPr="00FC7951" w:rsidRDefault="00B06B6F" w:rsidP="00725F19">
      <w:pPr>
        <w:jc w:val="right"/>
        <w:rPr>
          <w:rStyle w:val="af2"/>
          <w:rFonts w:ascii="Times New Roman" w:hAnsi="Times New Roman" w:cs="Times New Roman"/>
          <w:bCs/>
          <w:i w:val="0"/>
          <w:iCs w:val="0"/>
        </w:rPr>
      </w:pPr>
      <w:bookmarkStart w:id="65" w:name="_Toc107247788"/>
      <w:r w:rsidRPr="00FC7951">
        <w:rPr>
          <w:rStyle w:val="af2"/>
          <w:rFonts w:ascii="Times New Roman" w:hAnsi="Times New Roman" w:cs="Times New Roman"/>
          <w:bCs/>
          <w:i w:val="0"/>
          <w:iCs w:val="0"/>
        </w:rPr>
        <w:lastRenderedPageBreak/>
        <w:t xml:space="preserve">Приложение 4 </w:t>
      </w:r>
    </w:p>
    <w:p w14:paraId="03A9F4FB" w14:textId="77777777" w:rsidR="00B06B6F" w:rsidRPr="00FC7951" w:rsidRDefault="00B06B6F" w:rsidP="00725F19">
      <w:pPr>
        <w:jc w:val="right"/>
        <w:rPr>
          <w:rStyle w:val="10"/>
          <w:rFonts w:eastAsiaTheme="minorHAnsi"/>
          <w:bCs/>
        </w:rPr>
      </w:pPr>
      <w:r w:rsidRPr="00FC7951">
        <w:rPr>
          <w:rStyle w:val="af2"/>
          <w:rFonts w:ascii="Times New Roman" w:hAnsi="Times New Roman" w:cs="Times New Roman"/>
          <w:bCs/>
          <w:i w:val="0"/>
          <w:iCs w:val="0"/>
        </w:rPr>
        <w:t>к Методике МТ-065-4</w:t>
      </w:r>
    </w:p>
    <w:p w14:paraId="2A27F3C3" w14:textId="77777777" w:rsidR="00B06B6F" w:rsidRPr="00FC7951" w:rsidRDefault="00B06B6F" w:rsidP="00725F19">
      <w:pPr>
        <w:pStyle w:val="1"/>
        <w:numPr>
          <w:ilvl w:val="0"/>
          <w:numId w:val="0"/>
        </w:numPr>
        <w:rPr>
          <w:rStyle w:val="10"/>
          <w:b/>
        </w:rPr>
      </w:pPr>
      <w:r w:rsidRPr="00FC7951">
        <w:rPr>
          <w:rStyle w:val="10"/>
          <w:bCs/>
        </w:rPr>
        <w:t xml:space="preserve">Приложение 4 </w:t>
      </w:r>
      <w:r w:rsidRPr="00FC7951">
        <w:rPr>
          <w:rStyle w:val="10"/>
        </w:rPr>
        <w:t>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bookmarkEnd w:id="65"/>
      <w:r w:rsidRPr="00FC7951">
        <w:rPr>
          <w:rStyle w:val="10"/>
        </w:rPr>
        <w:t xml:space="preserve"> </w:t>
      </w:r>
    </w:p>
    <w:p w14:paraId="59BF4A9E" w14:textId="77777777" w:rsidR="00B06B6F" w:rsidRPr="00FC7951" w:rsidRDefault="00B06B6F" w:rsidP="00725F19">
      <w:pPr>
        <w:jc w:val="both"/>
        <w:rPr>
          <w:rFonts w:ascii="Times New Roman" w:hAnsi="Times New Roman" w:cs="Times New Roman"/>
          <w:b/>
        </w:rPr>
      </w:pPr>
    </w:p>
    <w:p w14:paraId="1A9E73E1" w14:textId="77777777" w:rsidR="00B06B6F" w:rsidRPr="00FC7951" w:rsidRDefault="00B06B6F" w:rsidP="00725F19">
      <w:pPr>
        <w:ind w:firstLine="709"/>
        <w:jc w:val="both"/>
        <w:rPr>
          <w:rFonts w:ascii="Times New Roman" w:eastAsia="Calibri" w:hAnsi="Times New Roman" w:cs="Times New Roman"/>
        </w:rPr>
      </w:pPr>
      <w:r w:rsidRPr="00FC7951">
        <w:rPr>
          <w:rFonts w:ascii="Times New Roman" w:eastAsia="Calibri" w:hAnsi="Times New Roman" w:cs="Times New Roman"/>
        </w:rPr>
        <w:t>Красными рамками на примерах ниже выделены используемые при оценке данные.</w:t>
      </w:r>
    </w:p>
    <w:p w14:paraId="4BD04878" w14:textId="77777777" w:rsidR="00B06B6F" w:rsidRPr="00FC7951" w:rsidRDefault="00B06B6F" w:rsidP="00725F19">
      <w:pPr>
        <w:ind w:firstLine="709"/>
        <w:jc w:val="both"/>
        <w:rPr>
          <w:rFonts w:ascii="Times New Roman" w:hAnsi="Times New Roman" w:cs="Times New Roman"/>
        </w:rPr>
      </w:pPr>
      <w:r w:rsidRPr="00FC7951">
        <w:rPr>
          <w:rFonts w:ascii="Times New Roman" w:eastAsia="Calibri" w:hAnsi="Times New Roman" w:cs="Times New Roman"/>
        </w:rPr>
        <w:t>Синими рамками на примерах ниже выделены проверяемые при использовании документов данные.</w:t>
      </w:r>
    </w:p>
    <w:p w14:paraId="1078F33F" w14:textId="77777777" w:rsidR="00B06B6F" w:rsidRPr="00FC7951" w:rsidRDefault="00B06B6F" w:rsidP="00725F19">
      <w:pPr>
        <w:jc w:val="both"/>
        <w:rPr>
          <w:rFonts w:ascii="Times New Roman" w:hAnsi="Times New Roman" w:cs="Times New Roman"/>
        </w:rPr>
      </w:pPr>
    </w:p>
    <w:p w14:paraId="0B186E97" w14:textId="77777777" w:rsidR="00B06B6F" w:rsidRPr="00FC7951" w:rsidRDefault="00B06B6F" w:rsidP="00725F19">
      <w:pPr>
        <w:ind w:firstLine="709"/>
        <w:jc w:val="both"/>
        <w:rPr>
          <w:rFonts w:ascii="Times New Roman" w:hAnsi="Times New Roman" w:cs="Times New Roman"/>
          <w:b/>
          <w:bCs/>
        </w:rPr>
      </w:pPr>
      <w:r w:rsidRPr="00FC7951">
        <w:rPr>
          <w:rFonts w:ascii="Times New Roman" w:hAnsi="Times New Roman" w:cs="Times New Roman"/>
          <w:b/>
          <w:bCs/>
        </w:rPr>
        <w:t>Выписка из БКИ:</w:t>
      </w:r>
    </w:p>
    <w:p w14:paraId="43573AE5" w14:textId="77777777" w:rsidR="00B06B6F" w:rsidRPr="00FC7951" w:rsidRDefault="00B06B6F" w:rsidP="00725F19">
      <w:pPr>
        <w:ind w:firstLine="709"/>
        <w:jc w:val="both"/>
        <w:rPr>
          <w:rFonts w:ascii="Times New Roman" w:hAnsi="Times New Roman" w:cs="Times New Roman"/>
          <w:b/>
          <w:bCs/>
        </w:rPr>
      </w:pPr>
    </w:p>
    <w:p w14:paraId="047B4B32" w14:textId="77777777" w:rsidR="00B06B6F" w:rsidRPr="00FC7951" w:rsidRDefault="00B06B6F" w:rsidP="00725F19">
      <w:pPr>
        <w:ind w:hanging="426"/>
        <w:jc w:val="both"/>
        <w:rPr>
          <w:rFonts w:ascii="Times New Roman" w:hAnsi="Times New Roman" w:cs="Times New Roman"/>
          <w:b/>
          <w:bCs/>
        </w:rPr>
      </w:pPr>
      <w:r w:rsidRPr="00FC7951">
        <w:rPr>
          <w:rFonts w:ascii="Times New Roman" w:hAnsi="Times New Roman" w:cs="Times New Roman"/>
          <w:i/>
          <w:iCs/>
          <w:noProof/>
          <w:lang w:eastAsia="ru-RU"/>
        </w:rPr>
        <mc:AlternateContent>
          <mc:Choice Requires="wps">
            <w:drawing>
              <wp:anchor distT="0" distB="0" distL="114300" distR="114300" simplePos="0" relativeHeight="251663360" behindDoc="0" locked="0" layoutInCell="1" allowOverlap="1" wp14:anchorId="0C6E0D21" wp14:editId="74FA5AB7">
                <wp:simplePos x="0" y="0"/>
                <wp:positionH relativeFrom="column">
                  <wp:posOffset>4850765</wp:posOffset>
                </wp:positionH>
                <wp:positionV relativeFrom="paragraph">
                  <wp:posOffset>405765</wp:posOffset>
                </wp:positionV>
                <wp:extent cx="1100666" cy="211667"/>
                <wp:effectExtent l="0" t="0" r="23495" b="17145"/>
                <wp:wrapNone/>
                <wp:docPr id="20" name="Прямоугольник 20"/>
                <wp:cNvGraphicFramePr/>
                <a:graphic xmlns:a="http://schemas.openxmlformats.org/drawingml/2006/main">
                  <a:graphicData uri="http://schemas.microsoft.com/office/word/2010/wordprocessingShape">
                    <wps:wsp>
                      <wps:cNvSpPr/>
                      <wps:spPr>
                        <a:xfrm>
                          <a:off x="0" y="0"/>
                          <a:ext cx="1100666" cy="211667"/>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E4E9E4" id="Прямоугольник 20" o:spid="_x0000_s1026" style="position:absolute;margin-left:381.95pt;margin-top:31.95pt;width:86.65pt;height:16.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1312" behindDoc="0" locked="0" layoutInCell="1" allowOverlap="1" wp14:anchorId="4377135E" wp14:editId="4A2EE4C6">
                <wp:simplePos x="0" y="0"/>
                <wp:positionH relativeFrom="column">
                  <wp:posOffset>549910</wp:posOffset>
                </wp:positionH>
                <wp:positionV relativeFrom="paragraph">
                  <wp:posOffset>839470</wp:posOffset>
                </wp:positionV>
                <wp:extent cx="1100666" cy="177800"/>
                <wp:effectExtent l="0" t="0" r="23495" b="12700"/>
                <wp:wrapNone/>
                <wp:docPr id="18" name="Прямоугольник 18"/>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DADA9" id="Прямоугольник 18" o:spid="_x0000_s1026" style="position:absolute;margin-left:43.3pt;margin-top:66.1pt;width:86.65pt;height:1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2336" behindDoc="0" locked="0" layoutInCell="1" allowOverlap="1" wp14:anchorId="040B61CA" wp14:editId="43B33E67">
                <wp:simplePos x="0" y="0"/>
                <wp:positionH relativeFrom="column">
                  <wp:posOffset>3868420</wp:posOffset>
                </wp:positionH>
                <wp:positionV relativeFrom="paragraph">
                  <wp:posOffset>1477010</wp:posOffset>
                </wp:positionV>
                <wp:extent cx="1083734" cy="508000"/>
                <wp:effectExtent l="0" t="0" r="21590" b="25400"/>
                <wp:wrapNone/>
                <wp:docPr id="19" name="Прямоугольник 19"/>
                <wp:cNvGraphicFramePr/>
                <a:graphic xmlns:a="http://schemas.openxmlformats.org/drawingml/2006/main">
                  <a:graphicData uri="http://schemas.microsoft.com/office/word/2010/wordprocessingShape">
                    <wps:wsp>
                      <wps:cNvSpPr/>
                      <wps:spPr>
                        <a:xfrm>
                          <a:off x="0" y="0"/>
                          <a:ext cx="1083734" cy="5080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E4711" id="Прямоугольник 19" o:spid="_x0000_s1026" style="position:absolute;margin-left:304.6pt;margin-top:116.3pt;width:85.35pt;height:4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" filled="f" strokecolor="red" strokeweight="1pt"/>
            </w:pict>
          </mc:Fallback>
        </mc:AlternateContent>
      </w:r>
      <w:r w:rsidRPr="00FC7951">
        <w:rPr>
          <w:rFonts w:ascii="Times New Roman" w:hAnsi="Times New Roman" w:cs="Times New Roman"/>
          <w:b/>
          <w:bCs/>
          <w:noProof/>
          <w:lang w:eastAsia="ru-RU"/>
        </w:rPr>
        <w:drawing>
          <wp:inline distT="0" distB="0" distL="0" distR="0" wp14:anchorId="4E6DBBDA" wp14:editId="62CC6A24">
            <wp:extent cx="6401656" cy="308614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20323" cy="3095139"/>
                    </a:xfrm>
                    <a:prstGeom prst="rect">
                      <a:avLst/>
                    </a:prstGeom>
                  </pic:spPr>
                </pic:pic>
              </a:graphicData>
            </a:graphic>
          </wp:inline>
        </w:drawing>
      </w:r>
    </w:p>
    <w:p w14:paraId="09007524" w14:textId="77777777" w:rsidR="00B06B6F" w:rsidRPr="00FC7951" w:rsidRDefault="00B06B6F" w:rsidP="00725F19">
      <w:pPr>
        <w:ind w:firstLine="709"/>
        <w:jc w:val="both"/>
        <w:rPr>
          <w:rFonts w:ascii="Times New Roman" w:hAnsi="Times New Roman" w:cs="Times New Roman"/>
          <w:b/>
          <w:bCs/>
        </w:rPr>
      </w:pPr>
      <w:r w:rsidRPr="00FC7951">
        <w:rPr>
          <w:rFonts w:ascii="Times New Roman" w:hAnsi="Times New Roman" w:cs="Times New Roman"/>
          <w:b/>
          <w:bCs/>
        </w:rPr>
        <w:t>Выписки из ЕГРН:</w:t>
      </w:r>
    </w:p>
    <w:p w14:paraId="719A8D7D" w14:textId="77777777" w:rsidR="00B06B6F" w:rsidRPr="00FC7951" w:rsidRDefault="00B06B6F" w:rsidP="00725F19">
      <w:pPr>
        <w:pStyle w:val="ac"/>
        <w:numPr>
          <w:ilvl w:val="0"/>
          <w:numId w:val="44"/>
        </w:numPr>
        <w:rPr>
          <w:i/>
          <w:iCs/>
        </w:rPr>
      </w:pPr>
      <w:r w:rsidRPr="00FC7951">
        <w:rPr>
          <w:b/>
        </w:rPr>
        <w:t>Сведения о зарегистрированных правах, ограничениях прав и обременениях объекта недвижимости</w:t>
      </w:r>
    </w:p>
    <w:p w14:paraId="5132E314" w14:textId="77777777" w:rsidR="00B06B6F" w:rsidRPr="00FC7951" w:rsidRDefault="00B06B6F" w:rsidP="00725F19">
      <w:pPr>
        <w:ind w:firstLine="709"/>
        <w:jc w:val="both"/>
        <w:rPr>
          <w:rFonts w:ascii="Times New Roman" w:hAnsi="Times New Roman" w:cs="Times New Roman"/>
          <w:b/>
          <w:bCs/>
        </w:rPr>
      </w:pPr>
    </w:p>
    <w:p w14:paraId="283E5B0C" w14:textId="77777777" w:rsidR="00B06B6F" w:rsidRPr="00FC7951" w:rsidRDefault="00B06B6F" w:rsidP="00725F19">
      <w:pPr>
        <w:jc w:val="both"/>
        <w:rPr>
          <w:rFonts w:ascii="Times New Roman" w:hAnsi="Times New Roman" w:cs="Times New Roman"/>
          <w:b/>
          <w:bCs/>
        </w:rPr>
      </w:pPr>
      <w:r w:rsidRPr="00FC7951">
        <w:rPr>
          <w:rFonts w:ascii="Times New Roman" w:hAnsi="Times New Roman" w:cs="Times New Roman"/>
          <w:i/>
          <w:iCs/>
          <w:noProof/>
          <w:lang w:eastAsia="ru-RU"/>
        </w:rPr>
        <w:lastRenderedPageBreak/>
        <mc:AlternateContent>
          <mc:Choice Requires="wps">
            <w:drawing>
              <wp:anchor distT="0" distB="0" distL="114300" distR="114300" simplePos="0" relativeHeight="251665408" behindDoc="0" locked="0" layoutInCell="1" allowOverlap="1" wp14:anchorId="5710E003" wp14:editId="3D6EB360">
                <wp:simplePos x="0" y="0"/>
                <wp:positionH relativeFrom="column">
                  <wp:posOffset>3455035</wp:posOffset>
                </wp:positionH>
                <wp:positionV relativeFrom="paragraph">
                  <wp:posOffset>890270</wp:posOffset>
                </wp:positionV>
                <wp:extent cx="1100666" cy="177800"/>
                <wp:effectExtent l="0" t="0" r="23495" b="12700"/>
                <wp:wrapNone/>
                <wp:docPr id="24" name="Прямоугольник 24"/>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89EB47" id="Прямоугольник 24" o:spid="_x0000_s1026" style="position:absolute;margin-left:272.05pt;margin-top:70.1pt;width:86.65pt;height:1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6432" behindDoc="0" locked="0" layoutInCell="1" allowOverlap="1" wp14:anchorId="5AE42D02" wp14:editId="7E9F9C56">
                <wp:simplePos x="0" y="0"/>
                <wp:positionH relativeFrom="column">
                  <wp:posOffset>3340735</wp:posOffset>
                </wp:positionH>
                <wp:positionV relativeFrom="paragraph">
                  <wp:posOffset>1061085</wp:posOffset>
                </wp:positionV>
                <wp:extent cx="1447800" cy="186267"/>
                <wp:effectExtent l="0" t="0" r="19050" b="23495"/>
                <wp:wrapNone/>
                <wp:docPr id="1" name="Прямоугольник 1"/>
                <wp:cNvGraphicFramePr/>
                <a:graphic xmlns:a="http://schemas.openxmlformats.org/drawingml/2006/main">
                  <a:graphicData uri="http://schemas.microsoft.com/office/word/2010/wordprocessingShape">
                    <wps:wsp>
                      <wps:cNvSpPr/>
                      <wps:spPr>
                        <a:xfrm>
                          <a:off x="0" y="0"/>
                          <a:ext cx="1447800" cy="186267"/>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D7237" id="Прямоугольник 1" o:spid="_x0000_s1026" style="position:absolute;margin-left:263.05pt;margin-top:83.55pt;width:114pt;height:1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7456" behindDoc="0" locked="0" layoutInCell="1" allowOverlap="1" wp14:anchorId="4C3D7DB0" wp14:editId="6E0B98E2">
                <wp:simplePos x="0" y="0"/>
                <wp:positionH relativeFrom="column">
                  <wp:posOffset>80645</wp:posOffset>
                </wp:positionH>
                <wp:positionV relativeFrom="paragraph">
                  <wp:posOffset>769620</wp:posOffset>
                </wp:positionV>
                <wp:extent cx="618067" cy="169333"/>
                <wp:effectExtent l="0" t="0" r="10795" b="21590"/>
                <wp:wrapNone/>
                <wp:docPr id="26" name="Прямоугольник 26"/>
                <wp:cNvGraphicFramePr/>
                <a:graphic xmlns:a="http://schemas.openxmlformats.org/drawingml/2006/main">
                  <a:graphicData uri="http://schemas.microsoft.com/office/word/2010/wordprocessingShape">
                    <wps:wsp>
                      <wps:cNvSpPr/>
                      <wps:spPr>
                        <a:xfrm>
                          <a:off x="0" y="0"/>
                          <a:ext cx="618067" cy="169333"/>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B00CB" id="Прямоугольник 26" o:spid="_x0000_s1026" style="position:absolute;margin-left:6.35pt;margin-top:60.6pt;width:48.65pt;height:1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" filled="f" strokecolor="#44546a [3215]" strokeweight="1pt"/>
            </w:pict>
          </mc:Fallback>
        </mc:AlternateContent>
      </w:r>
      <w:r w:rsidRPr="00FC7951">
        <w:rPr>
          <w:rStyle w:val="af2"/>
          <w:rFonts w:ascii="Times New Roman" w:hAnsi="Times New Roman" w:cs="Times New Roman"/>
          <w:noProof/>
          <w:lang w:eastAsia="ru-RU"/>
        </w:rPr>
        <w:drawing>
          <wp:inline distT="0" distB="0" distL="0" distR="0" wp14:anchorId="4DF50F09" wp14:editId="4D4EACB4">
            <wp:extent cx="5944787" cy="219671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014623" cy="2222521"/>
                    </a:xfrm>
                    <a:prstGeom prst="rect">
                      <a:avLst/>
                    </a:prstGeom>
                  </pic:spPr>
                </pic:pic>
              </a:graphicData>
            </a:graphic>
          </wp:inline>
        </w:drawing>
      </w:r>
    </w:p>
    <w:p w14:paraId="7B379A98" w14:textId="77777777" w:rsidR="00B06B6F" w:rsidRPr="00FC7951" w:rsidRDefault="00B06B6F" w:rsidP="00725F19">
      <w:pPr>
        <w:pStyle w:val="ac"/>
        <w:numPr>
          <w:ilvl w:val="0"/>
          <w:numId w:val="44"/>
        </w:numPr>
        <w:ind w:left="0" w:firstLine="426"/>
        <w:rPr>
          <w:i/>
          <w:iCs/>
        </w:rPr>
      </w:pPr>
      <w:r w:rsidRPr="00FC7951">
        <w:rPr>
          <w:b/>
        </w:rPr>
        <w:t>Сведения о характеристиках/об основных характеристиках объекта недвижимости</w:t>
      </w:r>
      <w:r w:rsidRPr="00FC7951">
        <w:rPr>
          <w:i/>
          <w:iCs/>
          <w:noProof/>
        </w:rPr>
        <w:t xml:space="preserve"> </w:t>
      </w:r>
    </w:p>
    <w:p w14:paraId="1F32C51D" w14:textId="77777777" w:rsidR="00B06B6F" w:rsidRPr="00FC7951" w:rsidRDefault="00B06B6F" w:rsidP="00725F19">
      <w:pPr>
        <w:pStyle w:val="ac"/>
        <w:ind w:left="0"/>
        <w:rPr>
          <w:i/>
          <w:iCs/>
        </w:rPr>
      </w:pPr>
    </w:p>
    <w:p w14:paraId="79C0A1CE" w14:textId="77777777" w:rsidR="00B06B6F" w:rsidRPr="00FC7951" w:rsidRDefault="00B06B6F" w:rsidP="00725F19">
      <w:pPr>
        <w:pStyle w:val="ac"/>
        <w:ind w:left="0"/>
        <w:rPr>
          <w:rStyle w:val="af2"/>
        </w:rPr>
      </w:pPr>
      <w:r w:rsidRPr="00FC7951">
        <w:rPr>
          <w:i/>
          <w:iCs/>
          <w:noProof/>
        </w:rPr>
        <mc:AlternateContent>
          <mc:Choice Requires="wps">
            <w:drawing>
              <wp:anchor distT="0" distB="0" distL="114300" distR="114300" simplePos="0" relativeHeight="251659264" behindDoc="0" locked="0" layoutInCell="1" allowOverlap="1" wp14:anchorId="5E444676" wp14:editId="7C500B3C">
                <wp:simplePos x="0" y="0"/>
                <wp:positionH relativeFrom="page">
                  <wp:align>center</wp:align>
                </wp:positionH>
                <wp:positionV relativeFrom="paragraph">
                  <wp:posOffset>3885989</wp:posOffset>
                </wp:positionV>
                <wp:extent cx="1143000" cy="169333"/>
                <wp:effectExtent l="0" t="0" r="19050" b="21590"/>
                <wp:wrapNone/>
                <wp:docPr id="12" name="Прямоугольник 12"/>
                <wp:cNvGraphicFramePr/>
                <a:graphic xmlns:a="http://schemas.openxmlformats.org/drawingml/2006/main">
                  <a:graphicData uri="http://schemas.microsoft.com/office/word/2010/wordprocessingShape">
                    <wps:wsp>
                      <wps:cNvSpPr/>
                      <wps:spPr>
                        <a:xfrm>
                          <a:off x="0" y="0"/>
                          <a:ext cx="1143000" cy="169333"/>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9C8CF2" id="Прямоугольник 12" o:spid="_x0000_s1026" style="position:absolute;margin-left:0;margin-top:306pt;width:90pt;height:13.35pt;z-index:25165926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" filled="f" strokecolor="red" strokeweight="1pt">
                <w10:wrap anchorx="page"/>
              </v:rect>
            </w:pict>
          </mc:Fallback>
        </mc:AlternateContent>
      </w:r>
      <w:r w:rsidRPr="00FC7951">
        <w:rPr>
          <w:i/>
          <w:iCs/>
          <w:noProof/>
        </w:rPr>
        <mc:AlternateContent>
          <mc:Choice Requires="wps">
            <w:drawing>
              <wp:anchor distT="0" distB="0" distL="114300" distR="114300" simplePos="0" relativeHeight="251660288" behindDoc="0" locked="0" layoutInCell="1" allowOverlap="1" wp14:anchorId="25CBEBFE" wp14:editId="1B293808">
                <wp:simplePos x="0" y="0"/>
                <wp:positionH relativeFrom="column">
                  <wp:posOffset>3461385</wp:posOffset>
                </wp:positionH>
                <wp:positionV relativeFrom="paragraph">
                  <wp:posOffset>1321647</wp:posOffset>
                </wp:positionV>
                <wp:extent cx="1100666" cy="177800"/>
                <wp:effectExtent l="0" t="0" r="23495" b="12700"/>
                <wp:wrapNone/>
                <wp:docPr id="14" name="Прямоугольник 14"/>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BB5106" id="Прямоугольник 14" o:spid="_x0000_s1026" style="position:absolute;margin-left:272.55pt;margin-top:104.05pt;width:86.65pt;height: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" filled="f" strokecolor="#44546a [3215]" strokeweight="1pt"/>
            </w:pict>
          </mc:Fallback>
        </mc:AlternateContent>
      </w:r>
      <w:r w:rsidRPr="00FC7951">
        <w:rPr>
          <w:i/>
          <w:iCs/>
          <w:noProof/>
        </w:rPr>
        <mc:AlternateContent>
          <mc:Choice Requires="wps">
            <w:drawing>
              <wp:anchor distT="0" distB="0" distL="114300" distR="114300" simplePos="0" relativeHeight="251664384" behindDoc="0" locked="0" layoutInCell="1" allowOverlap="1" wp14:anchorId="17574CB2" wp14:editId="0B260E93">
                <wp:simplePos x="0" y="0"/>
                <wp:positionH relativeFrom="column">
                  <wp:posOffset>57997</wp:posOffset>
                </wp:positionH>
                <wp:positionV relativeFrom="paragraph">
                  <wp:posOffset>1153583</wp:posOffset>
                </wp:positionV>
                <wp:extent cx="567267" cy="160866"/>
                <wp:effectExtent l="0" t="0" r="23495" b="10795"/>
                <wp:wrapNone/>
                <wp:docPr id="21" name="Прямоугольник 21"/>
                <wp:cNvGraphicFramePr/>
                <a:graphic xmlns:a="http://schemas.openxmlformats.org/drawingml/2006/main">
                  <a:graphicData uri="http://schemas.microsoft.com/office/word/2010/wordprocessingShape">
                    <wps:wsp>
                      <wps:cNvSpPr/>
                      <wps:spPr>
                        <a:xfrm>
                          <a:off x="0" y="0"/>
                          <a:ext cx="567267" cy="160866"/>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E5A62" id="Прямоугольник 21" o:spid="_x0000_s1026" style="position:absolute;margin-left:4.55pt;margin-top:90.85pt;width:44.65pt;height:1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" filled="f" strokecolor="#44546a [3215]" strokeweight="1pt"/>
            </w:pict>
          </mc:Fallback>
        </mc:AlternateContent>
      </w:r>
      <w:r w:rsidRPr="00FC7951">
        <w:rPr>
          <w:rStyle w:val="af2"/>
          <w:noProof/>
        </w:rPr>
        <w:drawing>
          <wp:inline distT="0" distB="0" distL="0" distR="0" wp14:anchorId="4E09E2EF" wp14:editId="6C53DA3D">
            <wp:extent cx="5941617" cy="4626113"/>
            <wp:effectExtent l="0" t="0" r="254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79306" cy="4655457"/>
                    </a:xfrm>
                    <a:prstGeom prst="rect">
                      <a:avLst/>
                    </a:prstGeom>
                  </pic:spPr>
                </pic:pic>
              </a:graphicData>
            </a:graphic>
          </wp:inline>
        </w:drawing>
      </w:r>
    </w:p>
    <w:p w14:paraId="6E0C457B" w14:textId="77777777" w:rsidR="00B06B6F" w:rsidRPr="00FC7951" w:rsidRDefault="00B06B6F" w:rsidP="00725F19">
      <w:pPr>
        <w:pStyle w:val="ac"/>
        <w:ind w:left="0"/>
        <w:rPr>
          <w:rStyle w:val="af2"/>
          <w:sz w:val="22"/>
          <w:szCs w:val="22"/>
        </w:rPr>
      </w:pPr>
    </w:p>
    <w:p w14:paraId="67D28461" w14:textId="77777777" w:rsidR="00B06B6F" w:rsidRPr="00FC7951" w:rsidRDefault="00B06B6F" w:rsidP="00725F19">
      <w:pPr>
        <w:pStyle w:val="ac"/>
        <w:rPr>
          <w:rStyle w:val="af2"/>
        </w:rPr>
      </w:pPr>
    </w:p>
    <w:p w14:paraId="122D7175" w14:textId="77777777" w:rsidR="00B06B6F" w:rsidRPr="00FC7951" w:rsidRDefault="00B06B6F" w:rsidP="00725F19">
      <w:pPr>
        <w:spacing w:after="200" w:line="276" w:lineRule="auto"/>
        <w:rPr>
          <w:rFonts w:ascii="Times New Roman" w:hAnsi="Times New Roman" w:cs="Times New Roman"/>
          <w:sz w:val="28"/>
          <w:szCs w:val="28"/>
        </w:rPr>
      </w:pPr>
    </w:p>
    <w:sectPr w:rsidR="00B06B6F" w:rsidRPr="00FC7951">
      <w:head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5C3D8" w14:textId="77777777" w:rsidR="00D34A11" w:rsidRDefault="00D34A11" w:rsidP="00F573BD">
      <w:pPr>
        <w:spacing w:after="0" w:line="240" w:lineRule="auto"/>
      </w:pPr>
      <w:r>
        <w:separator/>
      </w:r>
    </w:p>
  </w:endnote>
  <w:endnote w:type="continuationSeparator" w:id="0">
    <w:p w14:paraId="27EED518" w14:textId="77777777" w:rsidR="00D34A11" w:rsidRDefault="00D34A11" w:rsidP="00F57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5A2F" w14:textId="77777777" w:rsidR="00D34A11" w:rsidRDefault="00D34A11" w:rsidP="00F573BD">
      <w:pPr>
        <w:spacing w:after="0" w:line="240" w:lineRule="auto"/>
      </w:pPr>
      <w:r>
        <w:separator/>
      </w:r>
    </w:p>
  </w:footnote>
  <w:footnote w:type="continuationSeparator" w:id="0">
    <w:p w14:paraId="2B72DD0F" w14:textId="77777777" w:rsidR="00D34A11" w:rsidRDefault="00D34A11" w:rsidP="00F573BD">
      <w:pPr>
        <w:spacing w:after="0" w:line="240" w:lineRule="auto"/>
      </w:pPr>
      <w:r>
        <w:continuationSeparator/>
      </w:r>
    </w:p>
  </w:footnote>
  <w:footnote w:id="1">
    <w:p w14:paraId="34F8EE7E" w14:textId="77777777" w:rsidR="00D34A11" w:rsidRDefault="00D34A11" w:rsidP="00B06B6F">
      <w:pPr>
        <w:pStyle w:val="af5"/>
      </w:pPr>
      <w:r>
        <w:rPr>
          <w:rStyle w:val="af7"/>
        </w:rPr>
        <w:footnoteRef/>
      </w:r>
      <w:r>
        <w:t xml:space="preserve"> Здесь и далее – ранжирование предложений применяется при проведении конкурентных процедур и/или при необходимости</w:t>
      </w:r>
    </w:p>
  </w:footnote>
  <w:footnote w:id="2">
    <w:p w14:paraId="4CE2307D" w14:textId="77777777" w:rsidR="00D34A11" w:rsidRDefault="00D34A11" w:rsidP="00B06B6F">
      <w:pPr>
        <w:pStyle w:val="af5"/>
      </w:pPr>
      <w:r>
        <w:rPr>
          <w:rStyle w:val="af7"/>
        </w:rPr>
        <w:footnoteRef/>
      </w:r>
      <w:r>
        <w:t xml:space="preserve"> При применении настоящей Методики учитывать ВНД в актуальных версиях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4924"/>
      <w:gridCol w:w="2266"/>
    </w:tblGrid>
    <w:tr w:rsidR="00D34A11" w:rsidRPr="00A62BF8" w14:paraId="75510521" w14:textId="77777777" w:rsidTr="00FC7951">
      <w:trPr>
        <w:cantSplit/>
        <w:trHeight w:val="242"/>
      </w:trPr>
      <w:tc>
        <w:tcPr>
          <w:tcW w:w="2436" w:type="dxa"/>
          <w:vMerge w:val="restart"/>
          <w:vAlign w:val="center"/>
        </w:tcPr>
        <w:p w14:paraId="7846F835" w14:textId="77777777" w:rsidR="00D34A11" w:rsidRDefault="00D34A11" w:rsidP="00F573BD">
          <w:pPr>
            <w:pStyle w:val="a3"/>
            <w:jc w:val="center"/>
            <w:rPr>
              <w:b/>
              <w:bCs/>
              <w:sz w:val="20"/>
            </w:rPr>
          </w:pPr>
          <w:r>
            <w:rPr>
              <w:noProof/>
              <w:lang w:eastAsia="ru-RU"/>
            </w:rPr>
            <w:drawing>
              <wp:inline distT="0" distB="0" distL="0" distR="0" wp14:anchorId="14AD2858" wp14:editId="51F16693">
                <wp:extent cx="1418590" cy="76136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inline>
            </w:drawing>
          </w:r>
        </w:p>
      </w:tc>
      <w:tc>
        <w:tcPr>
          <w:tcW w:w="4936" w:type="dxa"/>
          <w:vMerge w:val="restart"/>
          <w:vAlign w:val="center"/>
        </w:tcPr>
        <w:p w14:paraId="6FE26BFD" w14:textId="77777777" w:rsidR="00D34A11" w:rsidRDefault="00D34A11" w:rsidP="00F573BD">
          <w:pPr>
            <w:pStyle w:val="a3"/>
            <w:jc w:val="center"/>
            <w:rPr>
              <w:rFonts w:ascii="Times New Roman" w:hAnsi="Times New Roman" w:cs="Times New Roman"/>
              <w:sz w:val="24"/>
              <w:szCs w:val="24"/>
            </w:rPr>
          </w:pPr>
          <w:r w:rsidRPr="00F573BD">
            <w:rPr>
              <w:rFonts w:ascii="Times New Roman" w:hAnsi="Times New Roman" w:cs="Times New Roman"/>
              <w:sz w:val="24"/>
              <w:szCs w:val="24"/>
            </w:rPr>
            <w:t>Методика «Проведение экспертизы финансово-экономической устойчивости участников закупочных процедур»</w:t>
          </w:r>
          <w:r>
            <w:rPr>
              <w:rFonts w:ascii="Times New Roman" w:hAnsi="Times New Roman" w:cs="Times New Roman"/>
              <w:sz w:val="24"/>
              <w:szCs w:val="24"/>
            </w:rPr>
            <w:t xml:space="preserve"> </w:t>
          </w:r>
        </w:p>
        <w:p w14:paraId="55ACFA05" w14:textId="043B3EBC" w:rsidR="00D34A11" w:rsidRPr="00F573BD" w:rsidRDefault="00D34A11" w:rsidP="00F573BD">
          <w:pPr>
            <w:pStyle w:val="a3"/>
            <w:jc w:val="center"/>
            <w:rPr>
              <w:rFonts w:ascii="Times New Roman" w:hAnsi="Times New Roman" w:cs="Times New Roman"/>
              <w:sz w:val="24"/>
              <w:szCs w:val="24"/>
            </w:rPr>
          </w:pPr>
          <w:r w:rsidRPr="001E7E85">
            <w:rPr>
              <w:rFonts w:ascii="Times New Roman" w:hAnsi="Times New Roman" w:cs="Times New Roman"/>
              <w:sz w:val="24"/>
              <w:szCs w:val="24"/>
            </w:rPr>
            <w:t>АО «ЕИРЦ ЛО»</w:t>
          </w:r>
        </w:p>
      </w:tc>
      <w:tc>
        <w:tcPr>
          <w:tcW w:w="2268" w:type="dxa"/>
          <w:vAlign w:val="center"/>
        </w:tcPr>
        <w:p w14:paraId="680079E4" w14:textId="77777777" w:rsidR="00D34A11" w:rsidRPr="00F573BD" w:rsidRDefault="00D34A11" w:rsidP="00F573BD">
          <w:pPr>
            <w:pStyle w:val="a3"/>
            <w:jc w:val="center"/>
            <w:rPr>
              <w:rFonts w:ascii="Times New Roman" w:hAnsi="Times New Roman" w:cs="Times New Roman"/>
              <w:sz w:val="24"/>
              <w:szCs w:val="24"/>
              <w:lang w:val="en-TT"/>
            </w:rPr>
          </w:pPr>
          <w:r w:rsidRPr="00F573BD">
            <w:rPr>
              <w:rFonts w:ascii="Times New Roman" w:hAnsi="Times New Roman" w:cs="Times New Roman"/>
              <w:sz w:val="24"/>
              <w:szCs w:val="24"/>
            </w:rPr>
            <w:t>МТ-065-</w:t>
          </w:r>
          <w:r>
            <w:rPr>
              <w:rFonts w:ascii="Times New Roman" w:hAnsi="Times New Roman" w:cs="Times New Roman"/>
              <w:sz w:val="24"/>
              <w:szCs w:val="24"/>
              <w:lang w:val="en-TT"/>
            </w:rPr>
            <w:t>4</w:t>
          </w:r>
        </w:p>
      </w:tc>
    </w:tr>
    <w:tr w:rsidR="00D34A11" w:rsidRPr="00A62BF8" w14:paraId="732B11A6" w14:textId="77777777" w:rsidTr="00FC7951">
      <w:trPr>
        <w:cantSplit/>
        <w:trHeight w:val="329"/>
      </w:trPr>
      <w:tc>
        <w:tcPr>
          <w:tcW w:w="2436" w:type="dxa"/>
          <w:vMerge/>
          <w:vAlign w:val="center"/>
        </w:tcPr>
        <w:p w14:paraId="403EB302" w14:textId="77777777" w:rsidR="00D34A11" w:rsidRDefault="00D34A11" w:rsidP="00F573BD">
          <w:pPr>
            <w:pStyle w:val="a3"/>
            <w:jc w:val="center"/>
            <w:rPr>
              <w:sz w:val="20"/>
            </w:rPr>
          </w:pPr>
        </w:p>
      </w:tc>
      <w:tc>
        <w:tcPr>
          <w:tcW w:w="4936" w:type="dxa"/>
          <w:vMerge/>
        </w:tcPr>
        <w:p w14:paraId="40661C7B" w14:textId="77777777" w:rsidR="00D34A11" w:rsidRPr="00F573BD" w:rsidRDefault="00D34A11" w:rsidP="00F573BD">
          <w:pPr>
            <w:spacing w:line="360" w:lineRule="auto"/>
            <w:jc w:val="center"/>
            <w:rPr>
              <w:rFonts w:ascii="Times New Roman" w:hAnsi="Times New Roman" w:cs="Times New Roman"/>
              <w:b/>
              <w:bCs/>
              <w:sz w:val="24"/>
              <w:szCs w:val="24"/>
            </w:rPr>
          </w:pPr>
        </w:p>
      </w:tc>
      <w:tc>
        <w:tcPr>
          <w:tcW w:w="2268" w:type="dxa"/>
          <w:vAlign w:val="center"/>
        </w:tcPr>
        <w:p w14:paraId="285F82D6" w14:textId="77777777" w:rsidR="00D34A11" w:rsidRPr="00F573BD" w:rsidRDefault="00D34A11" w:rsidP="00F573BD">
          <w:pPr>
            <w:pStyle w:val="a3"/>
            <w:jc w:val="center"/>
            <w:rPr>
              <w:rFonts w:ascii="Times New Roman" w:hAnsi="Times New Roman" w:cs="Times New Roman"/>
              <w:sz w:val="24"/>
              <w:szCs w:val="24"/>
            </w:rPr>
          </w:pPr>
          <w:r w:rsidRPr="00F573BD">
            <w:rPr>
              <w:rFonts w:ascii="Times New Roman" w:hAnsi="Times New Roman" w:cs="Times New Roman"/>
              <w:sz w:val="24"/>
              <w:szCs w:val="24"/>
            </w:rPr>
            <w:t>Для внутреннего использования</w:t>
          </w:r>
        </w:p>
      </w:tc>
    </w:tr>
  </w:tbl>
  <w:p w14:paraId="5650F933" w14:textId="77777777" w:rsidR="00D34A11" w:rsidRDefault="00D34A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457805"/>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C7C3389"/>
    <w:multiLevelType w:val="multilevel"/>
    <w:tmpl w:val="98B49A28"/>
    <w:lvl w:ilvl="0">
      <w:start w:val="12"/>
      <w:numFmt w:val="decimal"/>
      <w:lvlText w:val="%1."/>
      <w:lvlJc w:val="left"/>
      <w:pPr>
        <w:ind w:left="1511"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15:restartNumberingAfterBreak="0">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97A7A"/>
    <w:multiLevelType w:val="hybridMultilevel"/>
    <w:tmpl w:val="EF3EA7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147978"/>
    <w:multiLevelType w:val="hybridMultilevel"/>
    <w:tmpl w:val="A52874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007655"/>
    <w:multiLevelType w:val="hybridMultilevel"/>
    <w:tmpl w:val="D89EB0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3" w15:restartNumberingAfterBreak="0">
    <w:nsid w:val="1D712236"/>
    <w:multiLevelType w:val="hybridMultilevel"/>
    <w:tmpl w:val="520CF7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295482"/>
    <w:multiLevelType w:val="hybridMultilevel"/>
    <w:tmpl w:val="19B6B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0" w15:restartNumberingAfterBreak="0">
    <w:nsid w:val="3681354C"/>
    <w:multiLevelType w:val="hybridMultilevel"/>
    <w:tmpl w:val="B82CFA66"/>
    <w:lvl w:ilvl="0" w:tplc="65D87434">
      <w:start w:val="1"/>
      <w:numFmt w:val="decimal"/>
      <w:lvlText w:val="4.%1"/>
      <w:lvlJc w:val="left"/>
      <w:pPr>
        <w:ind w:left="1040" w:hanging="360"/>
      </w:pPr>
      <w:rPr>
        <w:rFont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1" w15:restartNumberingAfterBreak="0">
    <w:nsid w:val="38B96390"/>
    <w:multiLevelType w:val="hybridMultilevel"/>
    <w:tmpl w:val="AB60F8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0743E"/>
    <w:multiLevelType w:val="multilevel"/>
    <w:tmpl w:val="561E41AE"/>
    <w:lvl w:ilvl="0">
      <w:start w:val="1"/>
      <w:numFmt w:val="decimal"/>
      <w:pStyle w:val="1"/>
      <w:lvlText w:val="%1."/>
      <w:lvlJc w:val="left"/>
      <w:pPr>
        <w:tabs>
          <w:tab w:val="num" w:pos="1353"/>
        </w:tabs>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4" w15:restartNumberingAfterBreak="0">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1C414B4"/>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15:restartNumberingAfterBreak="0">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750306F"/>
    <w:multiLevelType w:val="hybridMultilevel"/>
    <w:tmpl w:val="831658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1" w15:restartNumberingAfterBreak="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0155C"/>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0" w15:restartNumberingAfterBreak="0">
    <w:nsid w:val="75766E9E"/>
    <w:multiLevelType w:val="multilevel"/>
    <w:tmpl w:val="31FC2122"/>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D969C7"/>
    <w:multiLevelType w:val="hybridMultilevel"/>
    <w:tmpl w:val="4E2075BE"/>
    <w:lvl w:ilvl="0" w:tplc="4C082A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0843489">
    <w:abstractNumId w:val="23"/>
  </w:num>
  <w:num w:numId="2" w16cid:durableId="1259094180">
    <w:abstractNumId w:val="19"/>
  </w:num>
  <w:num w:numId="3" w16cid:durableId="1135681308">
    <w:abstractNumId w:val="32"/>
  </w:num>
  <w:num w:numId="4" w16cid:durableId="1763910755">
    <w:abstractNumId w:val="29"/>
  </w:num>
  <w:num w:numId="5" w16cid:durableId="2092579877">
    <w:abstractNumId w:val="10"/>
  </w:num>
  <w:num w:numId="6" w16cid:durableId="914583761">
    <w:abstractNumId w:val="35"/>
  </w:num>
  <w:num w:numId="7" w16cid:durableId="1215776673">
    <w:abstractNumId w:val="38"/>
  </w:num>
  <w:num w:numId="8" w16cid:durableId="531498912">
    <w:abstractNumId w:val="33"/>
  </w:num>
  <w:num w:numId="9" w16cid:durableId="994845010">
    <w:abstractNumId w:val="42"/>
  </w:num>
  <w:num w:numId="10" w16cid:durableId="1334993025">
    <w:abstractNumId w:val="4"/>
  </w:num>
  <w:num w:numId="11" w16cid:durableId="1666207180">
    <w:abstractNumId w:val="6"/>
  </w:num>
  <w:num w:numId="12" w16cid:durableId="1203326658">
    <w:abstractNumId w:val="26"/>
  </w:num>
  <w:num w:numId="13" w16cid:durableId="261302441">
    <w:abstractNumId w:val="15"/>
  </w:num>
  <w:num w:numId="14" w16cid:durableId="698894487">
    <w:abstractNumId w:val="17"/>
  </w:num>
  <w:num w:numId="15" w16cid:durableId="262349790">
    <w:abstractNumId w:val="5"/>
  </w:num>
  <w:num w:numId="16" w16cid:durableId="1531994748">
    <w:abstractNumId w:val="36"/>
  </w:num>
  <w:num w:numId="17" w16cid:durableId="1424107960">
    <w:abstractNumId w:val="31"/>
  </w:num>
  <w:num w:numId="18" w16cid:durableId="1056899137">
    <w:abstractNumId w:val="34"/>
  </w:num>
  <w:num w:numId="19" w16cid:durableId="1334334728">
    <w:abstractNumId w:val="18"/>
  </w:num>
  <w:num w:numId="20" w16cid:durableId="12348688">
    <w:abstractNumId w:val="37"/>
  </w:num>
  <w:num w:numId="21" w16cid:durableId="453134199">
    <w:abstractNumId w:val="12"/>
  </w:num>
  <w:num w:numId="22" w16cid:durableId="151802527">
    <w:abstractNumId w:val="28"/>
  </w:num>
  <w:num w:numId="23" w16cid:durableId="1022782969">
    <w:abstractNumId w:val="24"/>
  </w:num>
  <w:num w:numId="24" w16cid:durableId="1700400432">
    <w:abstractNumId w:val="22"/>
  </w:num>
  <w:num w:numId="25" w16cid:durableId="2079671762">
    <w:abstractNumId w:val="11"/>
  </w:num>
  <w:num w:numId="26" w16cid:durableId="405417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0879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7651606">
    <w:abstractNumId w:val="43"/>
  </w:num>
  <w:num w:numId="29" w16cid:durableId="1116868930">
    <w:abstractNumId w:val="16"/>
  </w:num>
  <w:num w:numId="30" w16cid:durableId="102919585">
    <w:abstractNumId w:val="1"/>
  </w:num>
  <w:num w:numId="31" w16cid:durableId="1373730284">
    <w:abstractNumId w:val="0"/>
  </w:num>
  <w:num w:numId="32" w16cid:durableId="1130786479">
    <w:abstractNumId w:val="39"/>
  </w:num>
  <w:num w:numId="33" w16cid:durableId="969632761">
    <w:abstractNumId w:val="20"/>
  </w:num>
  <w:num w:numId="34" w16cid:durableId="2118669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9733984">
    <w:abstractNumId w:val="2"/>
  </w:num>
  <w:num w:numId="36" w16cid:durableId="482890655">
    <w:abstractNumId w:val="25"/>
  </w:num>
  <w:num w:numId="37" w16cid:durableId="10497752">
    <w:abstractNumId w:val="41"/>
  </w:num>
  <w:num w:numId="38" w16cid:durableId="1052465628">
    <w:abstractNumId w:val="13"/>
  </w:num>
  <w:num w:numId="39" w16cid:durableId="467012276">
    <w:abstractNumId w:val="7"/>
  </w:num>
  <w:num w:numId="40" w16cid:durableId="671227929">
    <w:abstractNumId w:val="8"/>
  </w:num>
  <w:num w:numId="41" w16cid:durableId="527764194">
    <w:abstractNumId w:val="30"/>
  </w:num>
  <w:num w:numId="42" w16cid:durableId="628779099">
    <w:abstractNumId w:val="9"/>
  </w:num>
  <w:num w:numId="43" w16cid:durableId="316569900">
    <w:abstractNumId w:val="21"/>
  </w:num>
  <w:num w:numId="44" w16cid:durableId="115026981">
    <w:abstractNumId w:val="14"/>
  </w:num>
  <w:num w:numId="45" w16cid:durableId="2035229109">
    <w:abstractNumId w:val="40"/>
  </w:num>
  <w:num w:numId="46" w16cid:durableId="10238274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611585">
    <w:abstractNumId w:val="3"/>
  </w:num>
  <w:num w:numId="48" w16cid:durableId="1977878969">
    <w:abstractNumId w:val="23"/>
    <w:lvlOverride w:ilvl="0">
      <w:startOverride w:val="4"/>
    </w:lvlOverride>
    <w:lvlOverride w:ilvl="1">
      <w:startOverride w:val="7"/>
    </w:lvlOverride>
  </w:num>
  <w:num w:numId="49" w16cid:durableId="111529427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257"/>
    <w:rsid w:val="00076CE3"/>
    <w:rsid w:val="000F5480"/>
    <w:rsid w:val="001746C7"/>
    <w:rsid w:val="001C6AC7"/>
    <w:rsid w:val="001E7E85"/>
    <w:rsid w:val="001F127F"/>
    <w:rsid w:val="001F2C41"/>
    <w:rsid w:val="00203A75"/>
    <w:rsid w:val="0022205E"/>
    <w:rsid w:val="00302154"/>
    <w:rsid w:val="00351B09"/>
    <w:rsid w:val="00365F96"/>
    <w:rsid w:val="003723EF"/>
    <w:rsid w:val="00387421"/>
    <w:rsid w:val="00391929"/>
    <w:rsid w:val="003D1CBB"/>
    <w:rsid w:val="003F4A32"/>
    <w:rsid w:val="0041278C"/>
    <w:rsid w:val="00507E0D"/>
    <w:rsid w:val="00521C78"/>
    <w:rsid w:val="00603973"/>
    <w:rsid w:val="006145DA"/>
    <w:rsid w:val="00615A2B"/>
    <w:rsid w:val="006A2F71"/>
    <w:rsid w:val="00725F19"/>
    <w:rsid w:val="00791B2D"/>
    <w:rsid w:val="00792317"/>
    <w:rsid w:val="007A07DF"/>
    <w:rsid w:val="007E78D6"/>
    <w:rsid w:val="008303F7"/>
    <w:rsid w:val="009F35EB"/>
    <w:rsid w:val="00A66BF5"/>
    <w:rsid w:val="00A74883"/>
    <w:rsid w:val="00AF0ED2"/>
    <w:rsid w:val="00AF11D2"/>
    <w:rsid w:val="00B06B6F"/>
    <w:rsid w:val="00BF4A8E"/>
    <w:rsid w:val="00CF0C36"/>
    <w:rsid w:val="00CF1F63"/>
    <w:rsid w:val="00D34A11"/>
    <w:rsid w:val="00D665C6"/>
    <w:rsid w:val="00DE4B3B"/>
    <w:rsid w:val="00E16E2C"/>
    <w:rsid w:val="00E34598"/>
    <w:rsid w:val="00E45BAE"/>
    <w:rsid w:val="00E477CA"/>
    <w:rsid w:val="00E77932"/>
    <w:rsid w:val="00EB2200"/>
    <w:rsid w:val="00EB592A"/>
    <w:rsid w:val="00EF36EE"/>
    <w:rsid w:val="00F16257"/>
    <w:rsid w:val="00F31DB7"/>
    <w:rsid w:val="00F573BD"/>
    <w:rsid w:val="00FC7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4928A1"/>
  <w15:chartTrackingRefBased/>
  <w15:docId w15:val="{266191D2-4991-4872-AD95-CD43A9A53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B06B6F"/>
    <w:pPr>
      <w:numPr>
        <w:numId w:val="1"/>
      </w:numPr>
      <w:spacing w:before="120" w:after="120" w:line="240" w:lineRule="auto"/>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3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73BD"/>
  </w:style>
  <w:style w:type="paragraph" w:styleId="a5">
    <w:name w:val="footer"/>
    <w:basedOn w:val="a"/>
    <w:link w:val="a6"/>
    <w:uiPriority w:val="99"/>
    <w:unhideWhenUsed/>
    <w:rsid w:val="00F573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73BD"/>
  </w:style>
  <w:style w:type="character" w:customStyle="1" w:styleId="10">
    <w:name w:val="Заголовок 1 Знак"/>
    <w:basedOn w:val="a0"/>
    <w:link w:val="1"/>
    <w:rsid w:val="00B06B6F"/>
    <w:rPr>
      <w:rFonts w:ascii="Times New Roman" w:eastAsia="Times New Roman" w:hAnsi="Times New Roman" w:cs="Times New Roman"/>
      <w:b/>
      <w:sz w:val="24"/>
      <w:szCs w:val="24"/>
      <w:lang w:eastAsia="ru-RU"/>
    </w:rPr>
  </w:style>
  <w:style w:type="table" w:styleId="a7">
    <w:name w:val="Table Grid"/>
    <w:basedOn w:val="a1"/>
    <w:uiPriority w:val="59"/>
    <w:rsid w:val="00B06B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B06B6F"/>
    <w:pPr>
      <w:spacing w:after="0" w:line="240" w:lineRule="auto"/>
      <w:jc w:val="center"/>
    </w:pPr>
    <w:rPr>
      <w:rFonts w:ascii="Times New Roman" w:eastAsia="Times New Roman" w:hAnsi="Times New Roman" w:cs="Times New Roman"/>
      <w:b/>
      <w:bCs/>
      <w:sz w:val="28"/>
      <w:szCs w:val="24"/>
      <w:lang w:eastAsia="ru-RU"/>
    </w:rPr>
  </w:style>
  <w:style w:type="character" w:customStyle="1" w:styleId="a9">
    <w:name w:val="Заголовок Знак"/>
    <w:basedOn w:val="a0"/>
    <w:link w:val="a8"/>
    <w:rsid w:val="00B06B6F"/>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B06B6F"/>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B06B6F"/>
    <w:pPr>
      <w:spacing w:after="0" w:line="240" w:lineRule="auto"/>
      <w:jc w:val="both"/>
    </w:pPr>
    <w:rPr>
      <w:rFonts w:ascii="Times New Roman" w:eastAsia="Times New Roman" w:hAnsi="Times New Roman" w:cs="Times New Roman"/>
      <w:sz w:val="24"/>
      <w:szCs w:val="24"/>
      <w:lang w:eastAsia="ru-RU"/>
    </w:rPr>
  </w:style>
  <w:style w:type="character" w:styleId="aa">
    <w:name w:val="page number"/>
    <w:basedOn w:val="a0"/>
    <w:rsid w:val="00B06B6F"/>
  </w:style>
  <w:style w:type="paragraph" w:customStyle="1" w:styleId="TableHeader">
    <w:name w:val="TableHeader"/>
    <w:rsid w:val="00B06B6F"/>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B06B6F"/>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B06B6F"/>
    <w:pPr>
      <w:spacing w:after="0" w:line="288" w:lineRule="atLeast"/>
    </w:pPr>
    <w:rPr>
      <w:rFonts w:ascii="Arial" w:eastAsia="Arial" w:hAnsi="Arial" w:cs="Arial"/>
      <w:color w:val="000000"/>
      <w:sz w:val="24"/>
      <w:szCs w:val="20"/>
      <w:lang w:eastAsia="ru-RU"/>
    </w:rPr>
  </w:style>
  <w:style w:type="character" w:styleId="ab">
    <w:name w:val="Hyperlink"/>
    <w:uiPriority w:val="99"/>
    <w:rsid w:val="00B06B6F"/>
    <w:rPr>
      <w:color w:val="0000FF"/>
      <w:u w:val="single"/>
    </w:rPr>
  </w:style>
  <w:style w:type="paragraph" w:styleId="11">
    <w:name w:val="toc 1"/>
    <w:basedOn w:val="a"/>
    <w:next w:val="a"/>
    <w:autoRedefine/>
    <w:uiPriority w:val="39"/>
    <w:rsid w:val="00B06B6F"/>
    <w:pPr>
      <w:tabs>
        <w:tab w:val="left" w:pos="440"/>
        <w:tab w:val="right" w:leader="dot" w:pos="10053"/>
      </w:tabs>
      <w:spacing w:before="120" w:after="0" w:line="240" w:lineRule="auto"/>
    </w:pPr>
    <w:rPr>
      <w:rFonts w:ascii="Arial" w:eastAsia="Times New Roman" w:hAnsi="Arial" w:cs="Times New Roman"/>
      <w:bCs/>
      <w:iCs/>
      <w:sz w:val="24"/>
      <w:szCs w:val="24"/>
      <w:lang w:eastAsia="ru-RU"/>
    </w:rPr>
  </w:style>
  <w:style w:type="paragraph" w:styleId="ac">
    <w:name w:val="List Paragraph"/>
    <w:basedOn w:val="a"/>
    <w:link w:val="ad"/>
    <w:uiPriority w:val="34"/>
    <w:qFormat/>
    <w:rsid w:val="00B06B6F"/>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B06B6F"/>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B06B6F"/>
    <w:rPr>
      <w:rFonts w:ascii="Tahoma" w:eastAsia="Times New Roman" w:hAnsi="Tahoma" w:cs="Tahoma"/>
      <w:sz w:val="16"/>
      <w:szCs w:val="16"/>
      <w:lang w:eastAsia="ru-RU"/>
    </w:rPr>
  </w:style>
  <w:style w:type="paragraph" w:styleId="af0">
    <w:name w:val="annotation text"/>
    <w:basedOn w:val="a"/>
    <w:link w:val="af1"/>
    <w:semiHidden/>
    <w:rsid w:val="00B06B6F"/>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semiHidden/>
    <w:rsid w:val="00B06B6F"/>
    <w:rPr>
      <w:rFonts w:ascii="Times New Roman" w:eastAsia="Times New Roman" w:hAnsi="Times New Roman" w:cs="Times New Roman"/>
      <w:sz w:val="20"/>
      <w:szCs w:val="20"/>
      <w:lang w:eastAsia="ru-RU"/>
    </w:rPr>
  </w:style>
  <w:style w:type="character" w:styleId="af2">
    <w:name w:val="Emphasis"/>
    <w:qFormat/>
    <w:rsid w:val="00B06B6F"/>
    <w:rPr>
      <w:i/>
      <w:iCs/>
    </w:rPr>
  </w:style>
  <w:style w:type="paragraph" w:styleId="af3">
    <w:name w:val="TOC Heading"/>
    <w:basedOn w:val="1"/>
    <w:next w:val="a"/>
    <w:uiPriority w:val="39"/>
    <w:unhideWhenUsed/>
    <w:qFormat/>
    <w:rsid w:val="00B06B6F"/>
    <w:pPr>
      <w:keepLines/>
      <w:spacing w:after="0" w:line="259" w:lineRule="auto"/>
      <w:outlineLvl w:val="9"/>
    </w:pPr>
    <w:rPr>
      <w:rFonts w:asciiTheme="majorHAnsi" w:eastAsiaTheme="majorEastAsia" w:hAnsiTheme="majorHAnsi" w:cstheme="majorBidi"/>
      <w:b w:val="0"/>
      <w:bCs/>
      <w:color w:val="2E74B5" w:themeColor="accent1" w:themeShade="BF"/>
    </w:rPr>
  </w:style>
  <w:style w:type="character" w:styleId="af4">
    <w:name w:val="FollowedHyperlink"/>
    <w:basedOn w:val="a0"/>
    <w:uiPriority w:val="99"/>
    <w:semiHidden/>
    <w:unhideWhenUsed/>
    <w:rsid w:val="00B06B6F"/>
    <w:rPr>
      <w:color w:val="954F72" w:themeColor="followedHyperlink"/>
      <w:u w:val="single"/>
    </w:rPr>
  </w:style>
  <w:style w:type="paragraph" w:styleId="2">
    <w:name w:val="toc 2"/>
    <w:basedOn w:val="a"/>
    <w:next w:val="a"/>
    <w:autoRedefine/>
    <w:uiPriority w:val="39"/>
    <w:unhideWhenUsed/>
    <w:rsid w:val="00B06B6F"/>
    <w:pPr>
      <w:spacing w:after="100"/>
      <w:ind w:left="220"/>
    </w:pPr>
    <w:rPr>
      <w:rFonts w:eastAsiaTheme="minorEastAsia" w:cs="Times New Roman"/>
      <w:lang w:eastAsia="ru-RU"/>
    </w:rPr>
  </w:style>
  <w:style w:type="paragraph" w:styleId="3">
    <w:name w:val="toc 3"/>
    <w:basedOn w:val="a"/>
    <w:next w:val="a"/>
    <w:autoRedefine/>
    <w:uiPriority w:val="39"/>
    <w:unhideWhenUsed/>
    <w:rsid w:val="00B06B6F"/>
    <w:pPr>
      <w:spacing w:after="100"/>
      <w:ind w:left="440"/>
    </w:pPr>
    <w:rPr>
      <w:rFonts w:eastAsiaTheme="minorEastAsia" w:cs="Times New Roman"/>
      <w:lang w:eastAsia="ru-RU"/>
    </w:rPr>
  </w:style>
  <w:style w:type="paragraph" w:styleId="af5">
    <w:name w:val="footnote text"/>
    <w:basedOn w:val="a"/>
    <w:link w:val="af6"/>
    <w:uiPriority w:val="99"/>
    <w:semiHidden/>
    <w:unhideWhenUsed/>
    <w:rsid w:val="00B06B6F"/>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semiHidden/>
    <w:rsid w:val="00B06B6F"/>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B06B6F"/>
    <w:rPr>
      <w:vertAlign w:val="superscript"/>
    </w:rPr>
  </w:style>
  <w:style w:type="character" w:styleId="af8">
    <w:name w:val="annotation reference"/>
    <w:basedOn w:val="a0"/>
    <w:uiPriority w:val="99"/>
    <w:semiHidden/>
    <w:unhideWhenUsed/>
    <w:rsid w:val="00B06B6F"/>
    <w:rPr>
      <w:sz w:val="16"/>
      <w:szCs w:val="16"/>
    </w:rPr>
  </w:style>
  <w:style w:type="paragraph" w:styleId="af9">
    <w:name w:val="annotation subject"/>
    <w:basedOn w:val="af0"/>
    <w:next w:val="af0"/>
    <w:link w:val="afa"/>
    <w:uiPriority w:val="99"/>
    <w:semiHidden/>
    <w:unhideWhenUsed/>
    <w:rsid w:val="00B06B6F"/>
    <w:rPr>
      <w:b/>
      <w:bCs/>
    </w:rPr>
  </w:style>
  <w:style w:type="character" w:customStyle="1" w:styleId="afa">
    <w:name w:val="Тема примечания Знак"/>
    <w:basedOn w:val="af1"/>
    <w:link w:val="af9"/>
    <w:uiPriority w:val="99"/>
    <w:semiHidden/>
    <w:rsid w:val="00B06B6F"/>
    <w:rPr>
      <w:rFonts w:ascii="Times New Roman" w:eastAsia="Times New Roman" w:hAnsi="Times New Roman" w:cs="Times New Roman"/>
      <w:b/>
      <w:bCs/>
      <w:sz w:val="20"/>
      <w:szCs w:val="20"/>
      <w:lang w:eastAsia="ru-RU"/>
    </w:rPr>
  </w:style>
  <w:style w:type="paragraph" w:styleId="afb">
    <w:name w:val="Revision"/>
    <w:hidden/>
    <w:uiPriority w:val="99"/>
    <w:semiHidden/>
    <w:rsid w:val="00B06B6F"/>
    <w:pPr>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rsid w:val="00B06B6F"/>
    <w:rPr>
      <w:rFonts w:ascii="Times New Roman" w:eastAsia="Times New Roman" w:hAnsi="Times New Roman" w:cs="Times New Roman"/>
      <w:sz w:val="24"/>
      <w:szCs w:val="24"/>
      <w:lang w:eastAsia="ru-RU"/>
    </w:rPr>
  </w:style>
  <w:style w:type="character" w:styleId="afc">
    <w:name w:val="Placeholder Text"/>
    <w:basedOn w:val="a0"/>
    <w:uiPriority w:val="99"/>
    <w:semiHidden/>
    <w:rsid w:val="00B06B6F"/>
    <w:rPr>
      <w:color w:val="808080"/>
    </w:rPr>
  </w:style>
  <w:style w:type="paragraph" w:customStyle="1" w:styleId="m0">
    <w:name w:val="m_ТекстТаблицы"/>
    <w:basedOn w:val="m"/>
    <w:rsid w:val="00B06B6F"/>
    <w:pPr>
      <w:jc w:val="left"/>
    </w:pPr>
    <w:rPr>
      <w:sz w:val="20"/>
    </w:rPr>
  </w:style>
  <w:style w:type="paragraph" w:customStyle="1" w:styleId="m4">
    <w:name w:val="m_ПромШапка"/>
    <w:basedOn w:val="m0"/>
    <w:rsid w:val="00B06B6F"/>
    <w:pPr>
      <w:keepNext/>
      <w:jc w:val="center"/>
    </w:pPr>
    <w:rPr>
      <w:b/>
      <w:bCs/>
    </w:rPr>
  </w:style>
  <w:style w:type="paragraph" w:customStyle="1" w:styleId="m5">
    <w:name w:val="m_ШапкаТаблицы"/>
    <w:basedOn w:val="m"/>
    <w:rsid w:val="00B06B6F"/>
    <w:pPr>
      <w:keepNext/>
      <w:shd w:val="clear" w:color="auto" w:fill="D9D9D9"/>
      <w:jc w:val="center"/>
    </w:pPr>
    <w:rPr>
      <w:b/>
      <w:sz w:val="20"/>
    </w:rPr>
  </w:style>
  <w:style w:type="paragraph" w:customStyle="1" w:styleId="m1">
    <w:name w:val="m_1_Пункт"/>
    <w:basedOn w:val="m"/>
    <w:next w:val="m"/>
    <w:rsid w:val="00B06B6F"/>
    <w:pPr>
      <w:keepNext/>
      <w:numPr>
        <w:numId w:val="45"/>
      </w:numPr>
    </w:pPr>
    <w:rPr>
      <w:b/>
      <w:caps/>
    </w:rPr>
  </w:style>
  <w:style w:type="paragraph" w:customStyle="1" w:styleId="m2">
    <w:name w:val="m_2_Пункт"/>
    <w:basedOn w:val="m"/>
    <w:next w:val="m"/>
    <w:rsid w:val="00B06B6F"/>
    <w:pPr>
      <w:keepNext/>
      <w:numPr>
        <w:ilvl w:val="1"/>
        <w:numId w:val="45"/>
      </w:numPr>
      <w:tabs>
        <w:tab w:val="left" w:pos="510"/>
      </w:tabs>
    </w:pPr>
    <w:rPr>
      <w:b/>
    </w:rPr>
  </w:style>
  <w:style w:type="paragraph" w:customStyle="1" w:styleId="m3">
    <w:name w:val="m_3_Пункт"/>
    <w:basedOn w:val="m"/>
    <w:next w:val="m"/>
    <w:rsid w:val="00B06B6F"/>
    <w:pPr>
      <w:numPr>
        <w:ilvl w:val="2"/>
        <w:numId w:val="45"/>
      </w:numPr>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7983">
      <w:bodyDiv w:val="1"/>
      <w:marLeft w:val="0"/>
      <w:marRight w:val="0"/>
      <w:marTop w:val="0"/>
      <w:marBottom w:val="0"/>
      <w:divBdr>
        <w:top w:val="none" w:sz="0" w:space="0" w:color="auto"/>
        <w:left w:val="none" w:sz="0" w:space="0" w:color="auto"/>
        <w:bottom w:val="none" w:sz="0" w:space="0" w:color="auto"/>
        <w:right w:val="none" w:sz="0" w:space="0" w:color="auto"/>
      </w:divBdr>
    </w:div>
    <w:div w:id="55470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EEAAD-00F1-4708-B925-B522F066A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38</Pages>
  <Words>11938</Words>
  <Characters>68049</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Дарья Михайловна</dc:creator>
  <cp:keywords/>
  <dc:description/>
  <cp:lastModifiedBy>Хренкова Анастасия Сергеевна</cp:lastModifiedBy>
  <cp:revision>47</cp:revision>
  <dcterms:created xsi:type="dcterms:W3CDTF">2022-08-01T08:16:00Z</dcterms:created>
  <dcterms:modified xsi:type="dcterms:W3CDTF">2025-04-18T14:07:00Z</dcterms:modified>
</cp:coreProperties>
</file>